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HealthSync Indonesia</w:t>
      </w:r>
    </w:p>
    <w:p/>
    <w:p>
      <w:pPr>
        <w:jc w:val="center"/>
      </w:pPr>
      <w:r>
        <w:rPr>
          <w:b/>
          <w:sz w:val="40"/>
        </w:rPr>
        <w:t>API Specification / Contract</w:t>
      </w:r>
    </w:p>
    <w:p>
      <w:pPr>
        <w:jc w:val="center"/>
      </w:pPr>
      <w:r>
        <w:rPr>
          <w:color w:val="6B7280"/>
          <w:sz w:val="24"/>
        </w:rPr>
        <w:t>Standar Pertukaran Data Backend, Frontend &amp; Mobile</w:t>
      </w:r>
    </w:p>
    <w:p/>
    <w:p>
      <w:pPr>
        <w:jc w:val="center"/>
      </w:pPr>
      <w:r>
        <w:rPr>
          <w:color w:val="6B7280"/>
          <w:sz w:val="20"/>
        </w:rPr>
        <w:t>Versi 1.0 | 14 September 2026</w:t>
      </w:r>
    </w:p>
    <w:p>
      <w:pPr>
        <w:jc w:val="center"/>
      </w:pPr>
      <w:r>
        <w:rPr>
          <w:i/>
          <w:sz w:val="20"/>
        </w:rPr>
        <w:t>Kategori: Arsitektur Teknis</w:t>
      </w:r>
    </w:p>
    <w:p>
      <w:r>
        <w:br w:type="page"/>
      </w:r>
    </w:p>
    <w:p>
      <w:pPr>
        <w:pStyle w:val="Heading1"/>
      </w:pPr>
      <w:r>
        <w:t>1. API Design Principles</w:t>
      </w:r>
    </w:p>
    <w:p>
      <w:pPr>
        <w:pStyle w:val="ListBullet"/>
        <w:ind w:left="720"/>
      </w:pPr>
      <w:r>
        <w:t>RESTful untuk CRUD operations</w:t>
      </w:r>
    </w:p>
    <w:p>
      <w:pPr>
        <w:pStyle w:val="ListBullet"/>
        <w:ind w:left="720"/>
      </w:pPr>
      <w:r>
        <w:t>WebSocket untuk real-time updates</w:t>
      </w:r>
    </w:p>
    <w:p>
      <w:pPr>
        <w:pStyle w:val="ListBullet"/>
        <w:ind w:left="720"/>
      </w:pPr>
      <w:r>
        <w:t>gRPC untuk internal service-to-service</w:t>
      </w:r>
    </w:p>
    <w:p>
      <w:pPr>
        <w:pStyle w:val="ListBullet"/>
        <w:ind w:left="720"/>
      </w:pPr>
      <w:r>
        <w:t>Versioning: URL-based (/v1/, /v2/)</w:t>
      </w:r>
    </w:p>
    <w:p>
      <w:pPr>
        <w:pStyle w:val="ListBullet"/>
        <w:ind w:left="720"/>
      </w:pPr>
      <w:r>
        <w:t>Authentication: Bearer JWT untuk semua endpoint (kecuali /health)</w:t>
      </w:r>
    </w:p>
    <w:p>
      <w:pPr>
        <w:pStyle w:val="ListBullet"/>
        <w:ind w:left="720"/>
      </w:pPr>
      <w:r>
        <w:t>Response format: JSON konsisten</w:t>
      </w:r>
    </w:p>
    <w:p>
      <w:pPr>
        <w:pStyle w:val="ListBullet"/>
        <w:ind w:left="720"/>
      </w:pPr>
      <w:r>
        <w:t>Error format: RFC 7807 (Problem Details)</w:t>
      </w:r>
    </w:p>
    <w:p>
      <w:pPr>
        <w:pStyle w:val="ListBullet"/>
        <w:ind w:left="720"/>
      </w:pPr>
      <w:r>
        <w:t>Pagination: cursor-based untuk large datasets</w:t>
      </w:r>
    </w:p>
    <w:p>
      <w:pPr>
        <w:pStyle w:val="ListBullet"/>
        <w:ind w:left="720"/>
      </w:pPr>
      <w:r>
        <w:t>Rate limiting: 100 req/min per user, 1000 req/min per service</w:t>
      </w:r>
    </w:p>
    <w:p>
      <w:pPr>
        <w:pStyle w:val="Heading1"/>
      </w:pPr>
      <w:r>
        <w:t>2. Base URL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Environment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URL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Production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https://api.healthsync.id/v1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Staging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https://staging-api.healthsync.id/v1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Development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http://localhost:3000/v1</w:t>
            </w:r>
          </w:p>
        </w:tc>
      </w:tr>
    </w:tbl>
    <w:p/>
    <w:p>
      <w:pPr>
        <w:pStyle w:val="Heading1"/>
      </w:pPr>
      <w:r>
        <w:t>3. Authentication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/auth/register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Register new user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/auth/login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Login, get tokens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/auth/refresh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Refresh access token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Refresh Token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/auth/logout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Invalidate tokens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/auth/verify-otp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Verify OTP for registration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None</w:t>
            </w:r>
          </w:p>
        </w:tc>
      </w:tr>
    </w:tbl>
    <w:p/>
    <w:p>
      <w:pPr>
        <w:pStyle w:val="Heading1"/>
      </w:pPr>
      <w:r>
        <w:t>4. Patient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/patients/me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own profile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 (Patient)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/patients/me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 profile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 (Patient)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/patients/{id}/vitals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vital signs (time-range)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 (Patient/Doctor)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/patients/{id}/vitals/realtime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WebSocket: real-time vitals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WS Auth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/patients/me/symptoms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Submit symptoms for screening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 (Patient)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/patients/me/prescriptions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prescriptions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 (Patient)</w:t>
            </w:r>
          </w:p>
        </w:tc>
      </w:tr>
    </w:tbl>
    <w:p/>
    <w:p>
      <w:pPr>
        <w:pStyle w:val="Heading1"/>
      </w:pPr>
      <w:r>
        <w:t>5. Consultation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/consultations/doctors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 available doctors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 (Patient)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/consultations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Start consultation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 (Patient)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/consultations/{id}/messages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chat history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/consultations/{id}/messages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Send message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/consultations/{id}/end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End consultation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 (Doctor)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/consultations/{id}/prescription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e-prescription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 (Doctor)</w:t>
            </w:r>
          </w:p>
        </w:tc>
      </w:tr>
    </w:tbl>
    <w:p/>
    <w:p>
      <w:pPr>
        <w:pStyle w:val="Heading1"/>
      </w:pPr>
      <w:r>
        <w:t>6. Alert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/alerts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Trigger alert (internal)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Service Key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/alerts/patient/{id}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patient alert history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/alerts/{id}/acknowledge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Acknowledge alert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 (Patient/RS)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/alerts/{id}/dismiss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Dismiss (false positive)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 (Patient)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/alerts/active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all active alerts (RS)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 (RS)</w:t>
            </w:r>
          </w:p>
        </w:tc>
      </w:tr>
    </w:tbl>
    <w:p/>
    <w:p>
      <w:pPr>
        <w:pStyle w:val="Heading1"/>
      </w:pPr>
      <w:r>
        <w:t>7. Referral Endpoints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/referrals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Create referral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 (Doctor)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/referrals/{id}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Get referral 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/referrals/{id}/respond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Accept/reject referral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 (RS)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/referrals/{id}/medical-data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Upload medical 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 (RS)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/referrals/{id}/status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Update status (in-transit, arrived)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Bearer</w:t>
            </w:r>
          </w:p>
        </w:tc>
      </w:tr>
    </w:tbl>
    <w:p/>
    <w:p>
      <w:pPr>
        <w:pStyle w:val="Heading1"/>
      </w:pPr>
      <w:r>
        <w:t>8. WebSocket 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Event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Direction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patient.vitals.update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 → Client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VitalSignReading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Real-time vital update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alert.triggered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 → Client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AlertObject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New alert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alert.escalated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 → Client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AlertObject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Alert level up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ambulance.dispatched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 → Client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DispatchOrder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New dispatch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ambulance.location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 → Client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GPSUpdate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Ambulance position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referral.received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 → Client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ReferralRequest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Incoming referral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bed.status.update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Server → Client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BedStatus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Bed availability change</w:t>
            </w:r>
          </w:p>
        </w:tc>
      </w:tr>
    </w:tbl>
    <w:p/>
    <w:p>
      <w:pPr>
        <w:pStyle w:val="Heading1"/>
      </w:pPr>
      <w:r>
        <w:t>9. Error Response Format</w:t>
      </w:r>
    </w:p>
    <w:p>
      <w:r>
        <w:t>Semua error mengikuti format RFC 7807:</w:t>
      </w:r>
    </w:p>
    <w:p>
      <w:r>
        <w:t>{</w:t>
        <w:br/>
        <w:t xml:space="preserve">  "type": "https://api.healthsync.id/errors/validation",</w:t>
        <w:br/>
        <w:t xml:space="preserve">  "title": "Validation Error",</w:t>
        <w:br/>
        <w:t xml:space="preserve">  "status": 422,</w:t>
        <w:br/>
        <w:t xml:space="preserve">  "detail": "Field heart_rate must be between 30-250",</w:t>
        <w:br/>
        <w:t xml:space="preserve">  "instance": "/v1/patients/xxx/vitals",</w:t>
        <w:br/>
        <w:t xml:space="preserve">  "errors": [{"field": "heart_rate", "message": "Value out of range"}]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