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Terms of Service &amp; Privacy Policy</w:t>
      </w:r>
    </w:p>
    <w:p>
      <w:pPr>
        <w:jc w:val="center"/>
      </w:pPr>
      <w:r>
        <w:rPr>
          <w:color w:val="6B7280"/>
          <w:sz w:val="24"/>
        </w:rPr>
        <w:t>Persetujuan Penggunaan &amp; Pemrosesan Data Kesehatan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Legal &amp; Regulasi</w:t>
      </w:r>
    </w:p>
    <w:p>
      <w:r>
        <w:br w:type="page"/>
      </w:r>
    </w:p>
    <w:p>
      <w:pPr>
        <w:pStyle w:val="Heading1"/>
      </w:pPr>
      <w:r>
        <w:t>1. Terms of Service – Ringkasan</w:t>
      </w:r>
    </w:p>
    <w:p>
      <w:r>
        <w:t>Dokumen lengkap disusun oleh Legal Counsel. Berikut poin-poin utama:</w:t>
      </w:r>
    </w:p>
    <w:p>
      <w:pPr>
        <w:pStyle w:val="Heading2"/>
      </w:pPr>
      <w:r>
        <w:t>1.1 Definisi Layanan</w:t>
      </w:r>
    </w:p>
    <w:p>
      <w:pPr>
        <w:pStyle w:val="ListBullet"/>
        <w:ind w:left="720"/>
      </w:pPr>
      <w:r>
        <w:t>HealthSync adalah platform teknologi kesehatan, BUKAN penyedia layanan medis langsung</w:t>
      </w:r>
    </w:p>
    <w:p>
      <w:pPr>
        <w:pStyle w:val="ListBullet"/>
        <w:ind w:left="720"/>
      </w:pPr>
      <w:r>
        <w:t>Self-diagnosis bersifat indikasi awal, bukan pengganti diagnosis dokter</w:t>
      </w:r>
    </w:p>
    <w:p>
      <w:pPr>
        <w:pStyle w:val="ListBullet"/>
        <w:ind w:left="720"/>
      </w:pPr>
      <w:r>
        <w:t>Konsultasi daring dilakukan oleh dokter berlisensi (STR/SIP aktif)</w:t>
      </w:r>
    </w:p>
    <w:p>
      <w:pPr>
        <w:pStyle w:val="ListBullet"/>
        <w:ind w:left="720"/>
      </w:pPr>
      <w:r>
        <w:t>Layanan darurat (ambulans) dikoordinasikan dengan RS partner</w:t>
      </w:r>
    </w:p>
    <w:p>
      <w:pPr>
        <w:pStyle w:val="Heading2"/>
      </w:pPr>
      <w:r>
        <w:t>1.2 Kewajiban Pengguna</w:t>
      </w:r>
    </w:p>
    <w:p>
      <w:pPr>
        <w:pStyle w:val="ListBullet"/>
        <w:ind w:left="720"/>
      </w:pPr>
      <w:r>
        <w:t>Memberikan data yang akurat dan terkini</w:t>
      </w:r>
    </w:p>
    <w:p>
      <w:pPr>
        <w:pStyle w:val="ListBullet"/>
        <w:ind w:left="720"/>
      </w:pPr>
      <w:r>
        <w:t>Tidak menyalahgunakan layanan untuk tujuan ilegal</w:t>
      </w:r>
    </w:p>
    <w:p>
      <w:pPr>
        <w:pStyle w:val="ListBullet"/>
        <w:ind w:left="720"/>
      </w:pPr>
      <w:r>
        <w:t>Menjaga kerahasiaan akun dan kredensial</w:t>
      </w:r>
    </w:p>
    <w:p>
      <w:pPr>
        <w:pStyle w:val="ListBullet"/>
        <w:ind w:left="720"/>
      </w:pPr>
      <w:r>
        <w:t>Segera menghubungi 119/IGD untuk kondisi mengancam jiwa (jangan menunggu app)</w:t>
      </w:r>
    </w:p>
    <w:p>
      <w:pPr>
        <w:pStyle w:val="Heading2"/>
      </w:pPr>
      <w:r>
        <w:t>1.3 Batasan Tanggung Jawab</w:t>
      </w:r>
    </w:p>
    <w:p>
      <w:pPr>
        <w:pStyle w:val="ListBullet"/>
        <w:ind w:left="720"/>
      </w:pPr>
      <w:r>
        <w:t>Platform tidak bertanggung jawab atas keterlambatan akibat force majeure</w:t>
      </w:r>
    </w:p>
    <w:p>
      <w:pPr>
        <w:pStyle w:val="ListBullet"/>
        <w:ind w:left="720"/>
      </w:pPr>
      <w:r>
        <w:t>Akurasi sensor smartwatch bergantung pada perangkat keras (bukan tanggung jawab platform)</w:t>
      </w:r>
    </w:p>
    <w:p>
      <w:pPr>
        <w:pStyle w:val="ListBullet"/>
        <w:ind w:left="720"/>
      </w:pPr>
      <w:r>
        <w:t>Keputusan medis akhir tetap pada dokter yang menangani</w:t>
      </w:r>
    </w:p>
    <w:p>
      <w:pPr>
        <w:pStyle w:val="Heading1"/>
      </w:pPr>
      <w:r>
        <w:t>2. Privacy Policy (Sesuai UU PDP No. 27/2022)</w:t>
      </w:r>
    </w:p>
    <w:p>
      <w:pPr>
        <w:pStyle w:val="Heading2"/>
      </w:pPr>
      <w:r>
        <w:t>2.1 Data yang Dikumpulkan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Kategori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Contoh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Klasifikasi UU PDP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Identitas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Nama, NIK, TTL, alamat, kontak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Pribadi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Kesehatan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Riwayat medis, vital signs, resep, diagnosis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Pribadi Spesifik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Perangkat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Device ID, lokasi GPS (saat emergency)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Pribadi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Penggunaan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aktivitas, preferensi, interaksi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Pribadi</w:t>
            </w:r>
          </w:p>
        </w:tc>
      </w:tr>
    </w:tbl>
    <w:p/>
    <w:p>
      <w:pPr>
        <w:pStyle w:val="Heading2"/>
      </w:pPr>
      <w:r>
        <w:t>2.2 Dasar Pemrosesan</w:t>
      </w:r>
    </w:p>
    <w:p>
      <w:pPr>
        <w:pStyle w:val="ListBullet"/>
        <w:ind w:left="720"/>
      </w:pPr>
      <w:r>
        <w:t>Consent eksplisit (opt-in, granular per jenis data)</w:t>
      </w:r>
    </w:p>
    <w:p>
      <w:pPr>
        <w:pStyle w:val="ListBullet"/>
        <w:ind w:left="720"/>
      </w:pPr>
      <w:r>
        <w:t>Pelaksanaan kontrak (layanan kesehatan yang diminta)</w:t>
      </w:r>
    </w:p>
    <w:p>
      <w:pPr>
        <w:pStyle w:val="ListBullet"/>
        <w:ind w:left="720"/>
      </w:pPr>
      <w:r>
        <w:t>Kepentingan vital (emergency response tanpa consent)</w:t>
      </w:r>
    </w:p>
    <w:p>
      <w:pPr>
        <w:pStyle w:val="ListBullet"/>
        <w:ind w:left="720"/>
      </w:pPr>
      <w:r>
        <w:t>Kewajiban hukum (pelaporan ke Kemenkes/SATUSEHAT)</w:t>
      </w:r>
    </w:p>
    <w:p>
      <w:pPr>
        <w:pStyle w:val="Heading2"/>
      </w:pPr>
      <w:r>
        <w:t>2.3 Hak Subjek Data</w:t>
      </w:r>
    </w:p>
    <w:p>
      <w:pPr>
        <w:pStyle w:val="ListBullet"/>
        <w:ind w:left="720"/>
      </w:pPr>
      <w:r>
        <w:t>Hak akses: melihat data yang disimpan</w:t>
      </w:r>
    </w:p>
    <w:p>
      <w:pPr>
        <w:pStyle w:val="ListBullet"/>
        <w:ind w:left="720"/>
      </w:pPr>
      <w:r>
        <w:t>Hak koreksi: memperbaiki data tidak akurat</w:t>
      </w:r>
    </w:p>
    <w:p>
      <w:pPr>
        <w:pStyle w:val="ListBullet"/>
        <w:ind w:left="720"/>
      </w:pPr>
      <w:r>
        <w:t>Hak penghapusan: hapus data (kecuali retensi wajib medis)</w:t>
      </w:r>
    </w:p>
    <w:p>
      <w:pPr>
        <w:pStyle w:val="ListBullet"/>
        <w:ind w:left="720"/>
      </w:pPr>
      <w:r>
        <w:t>Hak portabilitas: export data dalam format standar</w:t>
      </w:r>
    </w:p>
    <w:p>
      <w:pPr>
        <w:pStyle w:val="ListBullet"/>
        <w:ind w:left="720"/>
      </w:pPr>
      <w:r>
        <w:t>Hak menarik consent: hentikan pemrosesan (konsekuensi: layanan terhenti)</w:t>
      </w:r>
    </w:p>
    <w:p>
      <w:pPr>
        <w:pStyle w:val="ListBullet"/>
        <w:ind w:left="720"/>
      </w:pPr>
      <w:r>
        <w:t>Hak keberatan: ajukan keberatan atas pemrosesan tertentu</w:t>
      </w:r>
    </w:p>
    <w:p>
      <w:pPr>
        <w:pStyle w:val="Heading2"/>
      </w:pPr>
      <w:r>
        <w:t>2.4 Retensi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Jenis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Periode Retensi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Dasar Hukum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Rekam medis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Minimal 10 tahun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Permenkes RME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Vital signs (raw)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tahun (lalu anonymize)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Kebijakan internal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akun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Selama aktif + 30 hari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 PDP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 akses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tahun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requirement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transaksi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tahun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Regulasi keuangan</w:t>
            </w:r>
          </w:p>
        </w:tc>
      </w:tr>
    </w:tbl>
    <w:p/>
    <w:p>
      <w:pPr>
        <w:pStyle w:val="Heading2"/>
      </w:pPr>
      <w:r>
        <w:t>2.5 Keamanan Data</w:t>
      </w:r>
    </w:p>
    <w:p>
      <w:pPr>
        <w:pStyle w:val="ListBullet"/>
        <w:ind w:left="720"/>
      </w:pPr>
      <w:r>
        <w:t>Enkripsi AES-256 untuk data at rest</w:t>
      </w:r>
    </w:p>
    <w:p>
      <w:pPr>
        <w:pStyle w:val="ListBullet"/>
        <w:ind w:left="720"/>
      </w:pPr>
      <w:r>
        <w:t>TLS 1.3 untuk semua data in transit</w:t>
      </w:r>
    </w:p>
    <w:p>
      <w:pPr>
        <w:pStyle w:val="ListBullet"/>
        <w:ind w:left="720"/>
      </w:pPr>
      <w:r>
        <w:t>Role-Based Access Control (RBAC)</w:t>
      </w:r>
    </w:p>
    <w:p>
      <w:pPr>
        <w:pStyle w:val="ListBullet"/>
        <w:ind w:left="720"/>
      </w:pPr>
      <w:r>
        <w:t>Audit trail untuk semua akses data medis</w:t>
      </w:r>
    </w:p>
    <w:p>
      <w:pPr>
        <w:pStyle w:val="ListBullet"/>
        <w:ind w:left="720"/>
      </w:pPr>
      <w:r>
        <w:t>Penetration testing minimal 1x/tahun</w:t>
      </w:r>
    </w:p>
    <w:p>
      <w:pPr>
        <w:pStyle w:val="ListBullet"/>
        <w:ind w:left="720"/>
      </w:pPr>
      <w:r>
        <w:t>Data breach notification &lt; 3x24 jam ke otoritas</w:t>
      </w:r>
    </w:p>
    <w:p>
      <w:pPr>
        <w:pStyle w:val="ListBullet"/>
        <w:ind w:left="720"/>
      </w:pPr>
      <w:r>
        <w:t>Data residency: server di Indonesia</w:t>
      </w:r>
    </w:p>
    <w:p>
      <w:pPr>
        <w:pStyle w:val="Heading1"/>
      </w:pPr>
      <w:r>
        <w:t>3. Consent Management</w:t>
      </w:r>
    </w:p>
    <w:p>
      <w:r>
        <w:t>Aplikasi harus menampilkan consent form granular saat registrasi. Pengguna bisa memilih consent per kategori data dan menariknya kapan saja melalui menu Pengaturan → Privasi.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