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Dokumen Kepatuhan Regulasi</w:t>
      </w:r>
    </w:p>
    <w:p>
      <w:pPr>
        <w:jc w:val="center"/>
      </w:pPr>
      <w:r>
        <w:rPr>
          <w:color w:val="6B7280"/>
          <w:sz w:val="24"/>
        </w:rPr>
        <w:t>SATUSEHAT, UU PDP, PSE Kominfo, Permenkes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Legal &amp; Regulasi</w:t>
      </w:r>
    </w:p>
    <w:p>
      <w:r>
        <w:br w:type="page"/>
      </w:r>
    </w:p>
    <w:p>
      <w:pPr>
        <w:pStyle w:val="Heading1"/>
      </w:pPr>
      <w:r>
        <w:t>1. Peta Regulasi yang Berlaku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Regulasi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Issuer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Relevansi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Deadline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UU PDP No. 27/2022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DPR/Presiden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Perlindungan data pribadi &amp; kesehatan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Okt 2024 (transisi selesai)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PP No. 71/2019 (PSTE)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Kominfo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Penyelenggaraan sistem elektronik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Sebelum launch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Permenkes No. 24/2022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Kemenkes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Rekam Medis Elektronik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Sebelum launch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SATUSEHAT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Kemenkes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Interoperabilitas data kesehatan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2 (integrasi)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UU Praktik Kedokteran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Telemedicine, STR/SIP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Sebelum launch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Permenkes Alat Kesehatan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Kemenkes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smartwatch (wellness vs medical)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Sebelum launch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Peraturan BPJS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BPJS Kesehatan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Integrasi klaim (jika applicable)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2</w:t>
            </w:r>
          </w:p>
        </w:tc>
      </w:tr>
    </w:tbl>
    <w:p/>
    <w:p>
      <w:pPr>
        <w:pStyle w:val="Heading1"/>
      </w:pPr>
      <w:r>
        <w:t>2. Checklist Kepatuhan SATUSEHAT</w:t>
      </w:r>
    </w:p>
    <w:p>
      <w:pPr>
        <w:pStyle w:val="ListBullet"/>
        <w:ind w:left="720"/>
      </w:pPr>
      <w:r>
        <w:t>☐ Registrasi sebagai Penyelenggara Sistem Elektronik Kesehatan di Kemenkes</w:t>
      </w:r>
    </w:p>
    <w:p>
      <w:pPr>
        <w:pStyle w:val="ListBullet"/>
        <w:ind w:left="720"/>
      </w:pPr>
      <w:r>
        <w:t>☐ Implementasi standar FHIR R4 untuk pertukaran data</w:t>
      </w:r>
    </w:p>
    <w:p>
      <w:pPr>
        <w:pStyle w:val="ListBullet"/>
        <w:ind w:left="720"/>
      </w:pPr>
      <w:r>
        <w:t>☐ Mapping data model internal ke SATUSEHAT resource profiles</w:t>
      </w:r>
    </w:p>
    <w:p>
      <w:pPr>
        <w:pStyle w:val="ListBullet"/>
        <w:ind w:left="720"/>
      </w:pPr>
      <w:r>
        <w:t>☐ Uji integrasi dengan SATUSEHAT sandbox environment</w:t>
      </w:r>
    </w:p>
    <w:p>
      <w:pPr>
        <w:pStyle w:val="ListBullet"/>
        <w:ind w:left="720"/>
      </w:pPr>
      <w:r>
        <w:t>☐ Sertifikasi interoperabilitas dari Kemenkes</w:t>
      </w:r>
    </w:p>
    <w:p>
      <w:pPr>
        <w:pStyle w:val="ListBullet"/>
        <w:ind w:left="720"/>
      </w:pPr>
      <w:r>
        <w:t>☐ Pelaporan berkala sesuai ketentuan</w:t>
      </w:r>
    </w:p>
    <w:p>
      <w:pPr>
        <w:pStyle w:val="Heading1"/>
      </w:pPr>
      <w:r>
        <w:t>3. Checklist UU PDP</w:t>
      </w:r>
    </w:p>
    <w:p>
      <w:pPr>
        <w:pStyle w:val="ListBullet"/>
        <w:ind w:left="720"/>
      </w:pPr>
      <w:r>
        <w:t>☐ Penunjukan Data Protection Officer (DPO)</w:t>
      </w:r>
    </w:p>
    <w:p>
      <w:pPr>
        <w:pStyle w:val="ListBullet"/>
        <w:ind w:left="720"/>
      </w:pPr>
      <w:r>
        <w:t>☐ Data Protection Impact Assessment (DPIA) selesai</w:t>
      </w:r>
    </w:p>
    <w:p>
      <w:pPr>
        <w:pStyle w:val="ListBullet"/>
        <w:ind w:left="720"/>
      </w:pPr>
      <w:r>
        <w:t>☐ Consent management system terimplementasi</w:t>
      </w:r>
    </w:p>
    <w:p>
      <w:pPr>
        <w:pStyle w:val="ListBullet"/>
        <w:ind w:left="720"/>
      </w:pPr>
      <w:r>
        <w:t>☐ Prosedur data breach notification (&lt; 3x24 jam)</w:t>
      </w:r>
    </w:p>
    <w:p>
      <w:pPr>
        <w:pStyle w:val="ListBullet"/>
        <w:ind w:left="720"/>
      </w:pPr>
      <w:r>
        <w:t>☐ Privacy by design dalam arsitektur sistem</w:t>
      </w:r>
    </w:p>
    <w:p>
      <w:pPr>
        <w:pStyle w:val="ListBullet"/>
        <w:ind w:left="720"/>
      </w:pPr>
      <w:r>
        <w:t>☐ Data subject rights mechanism (access, delete, port)</w:t>
      </w:r>
    </w:p>
    <w:p>
      <w:pPr>
        <w:pStyle w:val="ListBullet"/>
        <w:ind w:left="720"/>
      </w:pPr>
      <w:r>
        <w:t>☐ Cross-border data transfer assessment (harus N/A jika semua di Indonesia)</w:t>
      </w:r>
    </w:p>
    <w:p>
      <w:pPr>
        <w:pStyle w:val="ListBullet"/>
        <w:ind w:left="720"/>
      </w:pPr>
      <w:r>
        <w:t>☐ Record of Processing Activities (RoPA) terdokumentasi</w:t>
      </w:r>
    </w:p>
    <w:p>
      <w:pPr>
        <w:pStyle w:val="Heading1"/>
      </w:pPr>
      <w:r>
        <w:t>4. Checklist PSE Kominfo</w:t>
      </w:r>
    </w:p>
    <w:p>
      <w:pPr>
        <w:pStyle w:val="ListBullet"/>
        <w:ind w:left="720"/>
      </w:pPr>
      <w:r>
        <w:t>☐ Pendaftaran PSE Lingkup Privat di Kominfo</w:t>
      </w:r>
    </w:p>
    <w:p>
      <w:pPr>
        <w:pStyle w:val="ListBullet"/>
        <w:ind w:left="720"/>
      </w:pPr>
      <w:r>
        <w:t>☐ Data center / server berlokasi di Indonesia</w:t>
      </w:r>
    </w:p>
    <w:p>
      <w:pPr>
        <w:pStyle w:val="ListBullet"/>
        <w:ind w:left="720"/>
      </w:pPr>
      <w:r>
        <w:t>☐ Mekanisme content moderation (jika ada user-generated content)</w:t>
      </w:r>
    </w:p>
    <w:p>
      <w:pPr>
        <w:pStyle w:val="ListBullet"/>
        <w:ind w:left="720"/>
      </w:pPr>
      <w:r>
        <w:t>☐ Laporan berkala ke Kominfo</w:t>
      </w:r>
    </w:p>
    <w:p>
      <w:pPr>
        <w:pStyle w:val="ListBullet"/>
        <w:ind w:left="720"/>
      </w:pPr>
      <w:r>
        <w:t>☐ Takedown mechanism untuk konten ilegal</w:t>
      </w:r>
    </w:p>
    <w:p>
      <w:pPr>
        <w:pStyle w:val="Heading1"/>
      </w:pPr>
      <w:r>
        <w:t>5. Checklist Permenkes RME</w:t>
      </w:r>
    </w:p>
    <w:p>
      <w:pPr>
        <w:pStyle w:val="ListBullet"/>
        <w:ind w:left="720"/>
      </w:pPr>
      <w:r>
        <w:t>☐ Standar minimum data rekam medis terpenuhi</w:t>
      </w:r>
    </w:p>
    <w:p>
      <w:pPr>
        <w:pStyle w:val="ListBullet"/>
        <w:ind w:left="720"/>
      </w:pPr>
      <w:r>
        <w:t>☐ Integrasi dengan sistem RME RS partner</w:t>
      </w:r>
    </w:p>
    <w:p>
      <w:pPr>
        <w:pStyle w:val="ListBullet"/>
        <w:ind w:left="720"/>
      </w:pPr>
      <w:r>
        <w:t>☐ Retensi data sesuai ketentuan (min 10 tahun)</w:t>
      </w:r>
    </w:p>
    <w:p>
      <w:pPr>
        <w:pStyle w:val="ListBullet"/>
        <w:ind w:left="720"/>
      </w:pPr>
      <w:r>
        <w:t>☐ Audit trail lengkap untuk semua akses</w:t>
      </w:r>
    </w:p>
    <w:p>
      <w:pPr>
        <w:pStyle w:val="ListBullet"/>
        <w:ind w:left="720"/>
      </w:pPr>
      <w:r>
        <w:t>☐ Digital signature untuk validasi dokumen medis</w:t>
      </w:r>
    </w:p>
    <w:p>
      <w:pPr>
        <w:pStyle w:val="ListBullet"/>
        <w:ind w:left="720"/>
      </w:pPr>
      <w:r>
        <w:t>☐ Backup dan disaster recovery untuk data RME</w:t>
      </w:r>
    </w:p>
    <w:p>
      <w:pPr>
        <w:pStyle w:val="Heading1"/>
      </w:pPr>
      <w:r>
        <w:t>6. Status Smartwatch: Wellness vs Medical Device</w:t>
      </w:r>
    </w:p>
    <w:p>
      <w:r>
        <w:t>Keputusan kritis: apakah smartwatch diklasifikasikan sebagai alat kesehatan (memerlukan izin edar AKD/AKL dari Kemenkes) atau wellness device. Rekomendasi: posisikan sebagai wellness/monitoring device di MVP, dengan disclaimer bahwa data bukan untuk diagnosis mandiri. Konsultasi dengan Direktorat Alat Kesehatan Kemenkes diperlukan.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