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Service Level Agreement (SLA)</w:t>
      </w:r>
    </w:p>
    <w:p>
      <w:pPr>
        <w:jc w:val="center"/>
      </w:pPr>
      <w:r>
        <w:rPr>
          <w:color w:val="6B7280"/>
          <w:sz w:val="24"/>
        </w:rPr>
        <w:t>Perjanjian Tingkat Keandalan Layanan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Infrastruktur &amp; Server</w:t>
      </w:r>
    </w:p>
    <w:p>
      <w:r>
        <w:br w:type="page"/>
      </w:r>
    </w:p>
    <w:p>
      <w:pPr>
        <w:pStyle w:val="Heading1"/>
      </w:pPr>
      <w:r>
        <w:t>1. Service Availability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SLA 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Credit if Breached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 System (IoT)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99.99%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 credit/bulan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 Center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 credit/bulan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(all endpoints)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 credit/bulan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3% credit/bulan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Pipeline (IoT)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delivery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 credit/bulan</w:t>
            </w:r>
          </w:p>
        </w:tc>
      </w:tr>
    </w:tbl>
    <w:p/>
    <w:p>
      <w:pPr>
        <w:pStyle w:val="Heading1"/>
      </w:pPr>
      <w:r>
        <w:t>2. Performance SLA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 (P95)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Monthly average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 (P99)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Monthly average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IoT Data 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detik (watch to dashboard)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 Trigger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 detik (detection to notification)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 Refresh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 detik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 Load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 detik (cold start)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</w:t>
            </w:r>
          </w:p>
        </w:tc>
      </w:tr>
    </w:tbl>
    <w:p/>
    <w:p>
      <w:pPr>
        <w:pStyle w:val="Heading1"/>
      </w:pPr>
      <w:r>
        <w:t>3. Support SLA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Response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Resolution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Update 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Critical (system down)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30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High (major feature broken)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1 jam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Medium (minor issue)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Low (cosmetic/enhancement)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Next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</w:t>
            </w:r>
          </w:p>
        </w:tc>
      </w:tr>
    </w:tbl>
    <w:p/>
    <w:p>
      <w:pPr>
        <w:pStyle w:val="Heading1"/>
      </w:pPr>
      <w:r>
        <w:t>4. Exclusions</w:t>
      </w:r>
    </w:p>
    <w:p>
      <w:pPr>
        <w:pStyle w:val="ListBullet"/>
        <w:ind w:left="720"/>
      </w:pPr>
      <w:r>
        <w:t>Planned maintenance (diberitahu min 48 jam sebelumnya)</w:t>
      </w:r>
    </w:p>
    <w:p>
      <w:pPr>
        <w:pStyle w:val="ListBullet"/>
        <w:ind w:left="720"/>
      </w:pPr>
      <w:r>
        <w:t>Force majeure (bencana alam, perang, pandemi)</w:t>
      </w:r>
    </w:p>
    <w:p>
      <w:pPr>
        <w:pStyle w:val="ListBullet"/>
        <w:ind w:left="720"/>
      </w:pPr>
      <w:r>
        <w:t>Masalah di sisi klien (koneksi internet RS, device pasien)</w:t>
      </w:r>
    </w:p>
    <w:p>
      <w:pPr>
        <w:pStyle w:val="ListBullet"/>
        <w:ind w:left="720"/>
      </w:pPr>
      <w:r>
        <w:t>Penyalahgunaan layanan oleh pengguna</w:t>
      </w:r>
    </w:p>
    <w:p>
      <w:pPr>
        <w:pStyle w:val="Heading1"/>
      </w:pPr>
      <w:r>
        <w:t>5. Penalties &amp; Credits</w:t>
      </w:r>
    </w:p>
    <w:p>
      <w:r>
        <w:t>Jika SLA tidak terpenuhi dalam satu bulan kalender, klien berhak atas service credit sesuai tabel di atas. Credit maksimal per bulan: 30% dari biaya langganan bulanan. Credit tidak berlaku jika downtime &lt; 5 menit atau disebabkan oleh exclusion di atas.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