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41" w:type="dxa"/>
        <w:tblLook w:val="04A0" w:firstRow="1" w:lastRow="0" w:firstColumn="1" w:lastColumn="0" w:noHBand="0" w:noVBand="1"/>
      </w:tblPr>
      <w:tblGrid>
        <w:gridCol w:w="1593"/>
        <w:gridCol w:w="2439"/>
        <w:gridCol w:w="2877"/>
        <w:gridCol w:w="1490"/>
        <w:gridCol w:w="1132"/>
        <w:gridCol w:w="1407"/>
        <w:gridCol w:w="803"/>
      </w:tblGrid>
      <w:tr w:rsidR="007219F4" w:rsidRPr="00334CBE" w14:paraId="64F87B5C" w14:textId="77777777" w:rsidTr="00352407">
        <w:tc>
          <w:tcPr>
            <w:tcW w:w="1593" w:type="dxa"/>
            <w:vAlign w:val="center"/>
          </w:tcPr>
          <w:p w14:paraId="45C8AB25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Name</w:t>
            </w:r>
          </w:p>
        </w:tc>
        <w:tc>
          <w:tcPr>
            <w:tcW w:w="2439" w:type="dxa"/>
          </w:tcPr>
          <w:p w14:paraId="3E5A95A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</w:p>
          <w:p w14:paraId="342C71D3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Drug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C</w:t>
            </w: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lass</w:t>
            </w:r>
          </w:p>
        </w:tc>
        <w:tc>
          <w:tcPr>
            <w:tcW w:w="2877" w:type="dxa"/>
            <w:vAlign w:val="center"/>
          </w:tcPr>
          <w:p w14:paraId="2817880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Structure</w:t>
            </w:r>
          </w:p>
        </w:tc>
        <w:tc>
          <w:tcPr>
            <w:tcW w:w="1490" w:type="dxa"/>
            <w:vAlign w:val="center"/>
          </w:tcPr>
          <w:p w14:paraId="29CAC00D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logP</w:t>
            </w:r>
          </w:p>
          <w:p w14:paraId="62367316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(ALOGPS 2.1)</w:t>
            </w:r>
          </w:p>
        </w:tc>
        <w:tc>
          <w:tcPr>
            <w:tcW w:w="1132" w:type="dxa"/>
            <w:vAlign w:val="center"/>
          </w:tcPr>
          <w:p w14:paraId="5DE9EDF4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Net charge</w:t>
            </w:r>
          </w:p>
          <w:p w14:paraId="725A971C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@pH 7.4</w:t>
            </w:r>
          </w:p>
        </w:tc>
        <w:tc>
          <w:tcPr>
            <w:tcW w:w="1407" w:type="dxa"/>
            <w:vAlign w:val="center"/>
          </w:tcPr>
          <w:p w14:paraId="1863F57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Mol. Weight</w:t>
            </w:r>
          </w:p>
          <w:p w14:paraId="4DCCF6CD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(g/mol)</w:t>
            </w:r>
          </w:p>
        </w:tc>
        <w:tc>
          <w:tcPr>
            <w:tcW w:w="803" w:type="dxa"/>
            <w:vAlign w:val="center"/>
          </w:tcPr>
          <w:p w14:paraId="4B24FA20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TPSA</w:t>
            </w:r>
          </w:p>
          <w:p w14:paraId="649C8DCA" w14:textId="77777777" w:rsidR="007219F4" w:rsidRPr="00334CBE" w:rsidRDefault="007219F4" w:rsidP="00352407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00334CBE">
              <w:rPr>
                <w:rFonts w:ascii="Aptos" w:hAnsi="Aptos" w:cs="Arial"/>
                <w:b/>
                <w:bCs/>
                <w:color w:val="000000" w:themeColor="text1"/>
                <w:sz w:val="21"/>
                <w:szCs w:val="21"/>
              </w:rPr>
              <w:t>(</w:t>
            </w:r>
            <w:r>
              <w:rPr>
                <w:rFonts w:ascii="Aptos" w:hAnsi="Aptos" w:cs="Arial"/>
                <w:b/>
                <w:bCs/>
                <w:color w:val="000000" w:themeColor="text1"/>
                <w:sz w:val="21"/>
                <w:szCs w:val="21"/>
              </w:rPr>
              <w:t>Å</w:t>
            </w:r>
            <w:r w:rsidRPr="00334CBE">
              <w:rPr>
                <w:rFonts w:ascii="Aptos" w:hAnsi="Aptos" w:cs="Arial"/>
                <w:b/>
                <w:bCs/>
                <w:color w:val="000000" w:themeColor="text1"/>
                <w:sz w:val="21"/>
                <w:szCs w:val="21"/>
                <w:vertAlign w:val="superscript"/>
                <w:lang w:eastAsia="ja-JP"/>
              </w:rPr>
              <w:t>2</w:t>
            </w:r>
            <w:r w:rsidRPr="00334CBE">
              <w:rPr>
                <w:rFonts w:ascii="Aptos" w:hAnsi="Aptos" w:cs="Arial"/>
                <w:b/>
                <w:bCs/>
                <w:color w:val="000000" w:themeColor="text1"/>
                <w:sz w:val="21"/>
                <w:szCs w:val="21"/>
                <w:lang w:eastAsia="ja-JP"/>
              </w:rPr>
              <w:t>)</w:t>
            </w:r>
          </w:p>
        </w:tc>
      </w:tr>
      <w:tr w:rsidR="007219F4" w:rsidRPr="00334CBE" w14:paraId="344D2ED3" w14:textId="77777777" w:rsidTr="00352407">
        <w:tc>
          <w:tcPr>
            <w:tcW w:w="1593" w:type="dxa"/>
            <w:vAlign w:val="center"/>
          </w:tcPr>
          <w:p w14:paraId="2BA177B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Acriflavine</w:t>
            </w:r>
          </w:p>
        </w:tc>
        <w:tc>
          <w:tcPr>
            <w:tcW w:w="2439" w:type="dxa"/>
          </w:tcPr>
          <w:p w14:paraId="6C7AE559" w14:textId="3D5E1FB5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Toxic dye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1BD6BD0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1C99D03" wp14:editId="5BA897F8">
                  <wp:extent cx="948435" cy="299506"/>
                  <wp:effectExtent l="0" t="0" r="4445" b="5715"/>
                  <wp:docPr id="4137849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784964" name="Picture 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435" cy="29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1ADDD45F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-1.67</w:t>
            </w:r>
          </w:p>
        </w:tc>
        <w:tc>
          <w:tcPr>
            <w:tcW w:w="1132" w:type="dxa"/>
            <w:vAlign w:val="center"/>
          </w:tcPr>
          <w:p w14:paraId="4B28F0C4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+1</w:t>
            </w:r>
          </w:p>
        </w:tc>
        <w:tc>
          <w:tcPr>
            <w:tcW w:w="1407" w:type="dxa"/>
            <w:vAlign w:val="center"/>
          </w:tcPr>
          <w:p w14:paraId="7CA96824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224.28</w:t>
            </w:r>
          </w:p>
        </w:tc>
        <w:tc>
          <w:tcPr>
            <w:tcW w:w="803" w:type="dxa"/>
            <w:vAlign w:val="center"/>
          </w:tcPr>
          <w:p w14:paraId="0A0D1E39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55.9</w:t>
            </w:r>
          </w:p>
        </w:tc>
      </w:tr>
      <w:tr w:rsidR="007219F4" w:rsidRPr="00334CBE" w14:paraId="13AFCAC9" w14:textId="77777777" w:rsidTr="00352407">
        <w:tc>
          <w:tcPr>
            <w:tcW w:w="1593" w:type="dxa"/>
            <w:vAlign w:val="center"/>
          </w:tcPr>
          <w:p w14:paraId="100A1E63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Ethidium</w:t>
            </w:r>
          </w:p>
        </w:tc>
        <w:tc>
          <w:tcPr>
            <w:tcW w:w="2439" w:type="dxa"/>
          </w:tcPr>
          <w:p w14:paraId="6F3C653F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7B05254F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0F753878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Toxic dye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04154F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6B6F45A" wp14:editId="268BC8F1">
                  <wp:extent cx="729869" cy="680003"/>
                  <wp:effectExtent l="0" t="0" r="0" b="6350"/>
                  <wp:docPr id="206903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381" name="Picture 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869" cy="68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7AB236A3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0.83</w:t>
            </w:r>
          </w:p>
        </w:tc>
        <w:tc>
          <w:tcPr>
            <w:tcW w:w="1132" w:type="dxa"/>
            <w:vAlign w:val="center"/>
          </w:tcPr>
          <w:p w14:paraId="21E6FB3C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+1</w:t>
            </w:r>
          </w:p>
        </w:tc>
        <w:tc>
          <w:tcPr>
            <w:tcW w:w="1407" w:type="dxa"/>
            <w:vAlign w:val="center"/>
          </w:tcPr>
          <w:p w14:paraId="3540F58E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314.4</w:t>
            </w:r>
          </w:p>
        </w:tc>
        <w:tc>
          <w:tcPr>
            <w:tcW w:w="803" w:type="dxa"/>
            <w:vAlign w:val="center"/>
          </w:tcPr>
          <w:p w14:paraId="18190A60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55.9</w:t>
            </w:r>
          </w:p>
        </w:tc>
      </w:tr>
      <w:tr w:rsidR="007219F4" w:rsidRPr="00334CBE" w14:paraId="4EF54592" w14:textId="77777777" w:rsidTr="00352407">
        <w:tc>
          <w:tcPr>
            <w:tcW w:w="1593" w:type="dxa"/>
            <w:vAlign w:val="center"/>
          </w:tcPr>
          <w:p w14:paraId="5A03468D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Norfloxacin</w:t>
            </w:r>
          </w:p>
        </w:tc>
        <w:tc>
          <w:tcPr>
            <w:tcW w:w="2439" w:type="dxa"/>
          </w:tcPr>
          <w:p w14:paraId="4AB67EA4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5625373D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Fluoroquinolone antibiotic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C4FAF2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52E12AB" wp14:editId="0861AF39">
                  <wp:extent cx="955832" cy="502053"/>
                  <wp:effectExtent l="0" t="0" r="0" b="6350"/>
                  <wp:docPr id="11526083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608326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832" cy="50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5BDC034F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-0.47</w:t>
            </w:r>
          </w:p>
        </w:tc>
        <w:tc>
          <w:tcPr>
            <w:tcW w:w="1132" w:type="dxa"/>
            <w:vAlign w:val="center"/>
          </w:tcPr>
          <w:p w14:paraId="2277CF08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07" w:type="dxa"/>
            <w:vAlign w:val="center"/>
          </w:tcPr>
          <w:p w14:paraId="694E3DDF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319.33</w:t>
            </w:r>
          </w:p>
        </w:tc>
        <w:tc>
          <w:tcPr>
            <w:tcW w:w="803" w:type="dxa"/>
            <w:vAlign w:val="center"/>
          </w:tcPr>
          <w:p w14:paraId="79A8774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72.9</w:t>
            </w:r>
          </w:p>
        </w:tc>
      </w:tr>
      <w:tr w:rsidR="007219F4" w:rsidRPr="00334CBE" w14:paraId="7DB41605" w14:textId="77777777" w:rsidTr="00352407">
        <w:tc>
          <w:tcPr>
            <w:tcW w:w="1593" w:type="dxa"/>
            <w:vAlign w:val="center"/>
          </w:tcPr>
          <w:p w14:paraId="327ADD43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Ofloxacin</w:t>
            </w:r>
          </w:p>
        </w:tc>
        <w:tc>
          <w:tcPr>
            <w:tcW w:w="2439" w:type="dxa"/>
          </w:tcPr>
          <w:p w14:paraId="2E872A68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1272B42C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Fluoroquinolone antibiotic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76AE09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4F9DB14A" wp14:editId="387C01E6">
                  <wp:extent cx="910905" cy="468980"/>
                  <wp:effectExtent l="0" t="0" r="3810" b="1270"/>
                  <wp:docPr id="7593818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81849" name="Picture 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905" cy="4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44FF75FF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-0.02</w:t>
            </w:r>
          </w:p>
        </w:tc>
        <w:tc>
          <w:tcPr>
            <w:tcW w:w="1132" w:type="dxa"/>
            <w:vAlign w:val="center"/>
          </w:tcPr>
          <w:p w14:paraId="175E929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07" w:type="dxa"/>
            <w:vAlign w:val="center"/>
          </w:tcPr>
          <w:p w14:paraId="222AE50E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361.4</w:t>
            </w:r>
          </w:p>
        </w:tc>
        <w:tc>
          <w:tcPr>
            <w:tcW w:w="803" w:type="dxa"/>
            <w:vAlign w:val="center"/>
          </w:tcPr>
          <w:p w14:paraId="62A20C05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73.3</w:t>
            </w:r>
          </w:p>
        </w:tc>
      </w:tr>
      <w:tr w:rsidR="007219F4" w:rsidRPr="00334CBE" w14:paraId="0C9B9EE9" w14:textId="77777777" w:rsidTr="00352407">
        <w:tc>
          <w:tcPr>
            <w:tcW w:w="1593" w:type="dxa"/>
            <w:vAlign w:val="center"/>
          </w:tcPr>
          <w:p w14:paraId="00BDC7D7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Pentamidine</w:t>
            </w:r>
          </w:p>
        </w:tc>
        <w:tc>
          <w:tcPr>
            <w:tcW w:w="2439" w:type="dxa"/>
          </w:tcPr>
          <w:p w14:paraId="0BA8268D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4CDB9F7A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Antifungal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81EFC4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FE61DA2" wp14:editId="2ECE3961">
                  <wp:extent cx="1634564" cy="399026"/>
                  <wp:effectExtent l="0" t="0" r="3810" b="0"/>
                  <wp:docPr id="11138977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897786" name="Picture 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564" cy="39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33D7E54E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1.32</w:t>
            </w:r>
          </w:p>
        </w:tc>
        <w:tc>
          <w:tcPr>
            <w:tcW w:w="1132" w:type="dxa"/>
            <w:vAlign w:val="center"/>
          </w:tcPr>
          <w:p w14:paraId="7C84B687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+2</w:t>
            </w:r>
          </w:p>
        </w:tc>
        <w:tc>
          <w:tcPr>
            <w:tcW w:w="1407" w:type="dxa"/>
            <w:vAlign w:val="center"/>
          </w:tcPr>
          <w:p w14:paraId="0A5B470B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340.4</w:t>
            </w:r>
          </w:p>
        </w:tc>
        <w:tc>
          <w:tcPr>
            <w:tcW w:w="803" w:type="dxa"/>
            <w:vAlign w:val="center"/>
          </w:tcPr>
          <w:p w14:paraId="6AC116FC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118</w:t>
            </w:r>
          </w:p>
        </w:tc>
      </w:tr>
      <w:tr w:rsidR="007219F4" w:rsidRPr="00334CBE" w14:paraId="1237865D" w14:textId="77777777" w:rsidTr="00352407">
        <w:tc>
          <w:tcPr>
            <w:tcW w:w="1593" w:type="dxa"/>
            <w:vAlign w:val="center"/>
          </w:tcPr>
          <w:p w14:paraId="492C108F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Pipemidic acid</w:t>
            </w:r>
          </w:p>
        </w:tc>
        <w:tc>
          <w:tcPr>
            <w:tcW w:w="2439" w:type="dxa"/>
          </w:tcPr>
          <w:p w14:paraId="3A841577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78385610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Quinolone antibiotic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44A89DE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F6ADB29" wp14:editId="5E319281">
                  <wp:extent cx="895295" cy="470256"/>
                  <wp:effectExtent l="0" t="0" r="0" b="0"/>
                  <wp:docPr id="170302697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026976" name="Picture 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295" cy="470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5A97CC42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-1.52</w:t>
            </w:r>
          </w:p>
        </w:tc>
        <w:tc>
          <w:tcPr>
            <w:tcW w:w="1132" w:type="dxa"/>
            <w:vAlign w:val="center"/>
          </w:tcPr>
          <w:p w14:paraId="0C83EC2D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07" w:type="dxa"/>
            <w:vAlign w:val="center"/>
          </w:tcPr>
          <w:p w14:paraId="3C0838E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303.32</w:t>
            </w:r>
          </w:p>
        </w:tc>
        <w:tc>
          <w:tcPr>
            <w:tcW w:w="803" w:type="dxa"/>
            <w:vAlign w:val="center"/>
          </w:tcPr>
          <w:p w14:paraId="227C3630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98.7</w:t>
            </w:r>
          </w:p>
        </w:tc>
      </w:tr>
      <w:tr w:rsidR="007219F4" w:rsidRPr="00334CBE" w14:paraId="5F15AEF5" w14:textId="77777777" w:rsidTr="00352407">
        <w:tc>
          <w:tcPr>
            <w:tcW w:w="1593" w:type="dxa"/>
            <w:vAlign w:val="center"/>
          </w:tcPr>
          <w:p w14:paraId="772A56BA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Puromycin</w:t>
            </w:r>
          </w:p>
        </w:tc>
        <w:tc>
          <w:tcPr>
            <w:tcW w:w="2439" w:type="dxa"/>
          </w:tcPr>
          <w:p w14:paraId="2E4E1F93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061E0394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Aminonucleoside antibiotic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7BE895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0C3D5313" wp14:editId="164E8ADA">
                  <wp:extent cx="1328244" cy="589353"/>
                  <wp:effectExtent l="0" t="0" r="5715" b="0"/>
                  <wp:docPr id="5551473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147312" name="Picture 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244" cy="58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54966F39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-0.10</w:t>
            </w:r>
          </w:p>
        </w:tc>
        <w:tc>
          <w:tcPr>
            <w:tcW w:w="1132" w:type="dxa"/>
            <w:vAlign w:val="center"/>
          </w:tcPr>
          <w:p w14:paraId="2A35C868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+1</w:t>
            </w:r>
          </w:p>
        </w:tc>
        <w:tc>
          <w:tcPr>
            <w:tcW w:w="1407" w:type="dxa"/>
            <w:vAlign w:val="center"/>
          </w:tcPr>
          <w:p w14:paraId="6C560A6E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471.5</w:t>
            </w:r>
          </w:p>
        </w:tc>
        <w:tc>
          <w:tcPr>
            <w:tcW w:w="803" w:type="dxa"/>
            <w:vAlign w:val="center"/>
          </w:tcPr>
          <w:p w14:paraId="3BDB1732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161</w:t>
            </w:r>
          </w:p>
        </w:tc>
      </w:tr>
      <w:tr w:rsidR="007219F4" w:rsidRPr="00334CBE" w14:paraId="06B67C42" w14:textId="77777777" w:rsidTr="00352407">
        <w:tc>
          <w:tcPr>
            <w:tcW w:w="1593" w:type="dxa"/>
            <w:vAlign w:val="center"/>
          </w:tcPr>
          <w:p w14:paraId="5DE5C604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34CBE">
              <w:rPr>
                <w:rFonts w:ascii="Arial" w:hAnsi="Arial" w:cs="Arial"/>
                <w:color w:val="000000" w:themeColor="text1"/>
                <w:sz w:val="21"/>
                <w:szCs w:val="21"/>
              </w:rPr>
              <w:t>Tetraphenyl-phosphonium</w:t>
            </w:r>
          </w:p>
        </w:tc>
        <w:tc>
          <w:tcPr>
            <w:tcW w:w="2439" w:type="dxa"/>
          </w:tcPr>
          <w:p w14:paraId="52EA7F90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</w:p>
          <w:p w14:paraId="092C97AD" w14:textId="77777777" w:rsidR="007219F4" w:rsidRPr="00334CBE" w:rsidRDefault="007219F4" w:rsidP="007219F4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Polyaromatic phosphonium</w:t>
            </w:r>
          </w:p>
        </w:tc>
        <w:tc>
          <w:tcPr>
            <w:tcW w:w="2877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EC36B97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1603A99" wp14:editId="0E48B4D8">
                  <wp:extent cx="578423" cy="578423"/>
                  <wp:effectExtent l="0" t="0" r="6350" b="6350"/>
                  <wp:docPr id="105177737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77376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23" cy="57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" w:type="dxa"/>
            <w:vAlign w:val="center"/>
          </w:tcPr>
          <w:p w14:paraId="7A034BFB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6.63</w:t>
            </w:r>
          </w:p>
        </w:tc>
        <w:tc>
          <w:tcPr>
            <w:tcW w:w="1132" w:type="dxa"/>
            <w:vAlign w:val="center"/>
          </w:tcPr>
          <w:p w14:paraId="6B86CB00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+1</w:t>
            </w:r>
          </w:p>
        </w:tc>
        <w:tc>
          <w:tcPr>
            <w:tcW w:w="1407" w:type="dxa"/>
            <w:vAlign w:val="center"/>
          </w:tcPr>
          <w:p w14:paraId="2D26B1B7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339.4</w:t>
            </w:r>
          </w:p>
        </w:tc>
        <w:tc>
          <w:tcPr>
            <w:tcW w:w="803" w:type="dxa"/>
            <w:vAlign w:val="center"/>
          </w:tcPr>
          <w:p w14:paraId="407C96EB" w14:textId="77777777" w:rsidR="007219F4" w:rsidRPr="00334CBE" w:rsidRDefault="007219F4" w:rsidP="0035240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34C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39B664B6" w14:textId="77777777" w:rsidR="00B92DE8" w:rsidRDefault="00B92DE8"/>
    <w:sectPr w:rsidR="00B92DE8" w:rsidSect="007219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F4"/>
    <w:rsid w:val="00034E9E"/>
    <w:rsid w:val="00072227"/>
    <w:rsid w:val="001F353D"/>
    <w:rsid w:val="00225412"/>
    <w:rsid w:val="007219F4"/>
    <w:rsid w:val="008E0352"/>
    <w:rsid w:val="00B90030"/>
    <w:rsid w:val="00B92DE8"/>
    <w:rsid w:val="00CC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1C55B"/>
  <w15:chartTrackingRefBased/>
  <w15:docId w15:val="{B941BCCA-554C-3649-89DE-889F3FCF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F4"/>
    <w:pPr>
      <w:spacing w:after="0" w:line="240" w:lineRule="auto"/>
    </w:pPr>
    <w:rPr>
      <w:rFonts w:eastAsia="MS Minch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9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F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F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F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F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F4"/>
    <w:pPr>
      <w:spacing w:after="160" w:line="278" w:lineRule="auto"/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72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19F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Miller</dc:creator>
  <cp:keywords/>
  <dc:description/>
  <cp:lastModifiedBy>Silas Miller</cp:lastModifiedBy>
  <cp:revision>1</cp:revision>
  <dcterms:created xsi:type="dcterms:W3CDTF">2025-10-10T14:55:00Z</dcterms:created>
  <dcterms:modified xsi:type="dcterms:W3CDTF">2025-10-10T14:57:00Z</dcterms:modified>
</cp:coreProperties>
</file>