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b w:val="0"/>
          <w:i/>
          <w:color w:val="787878"/>
          <w:sz w:val="16"/>
        </w:rPr>
        <w:t>[Translator's note: Source document is in French. Target: American English. This is a reconstructed, translated rendering of a scanned, partly handwritten form. Handwritten / low-quality entries are marked [UNCLEAR: ...] or [ILLEGIBLE]. Logos/images could not be reproduced and are indicated by [IMAGE].]</w:t>
      </w:r>
    </w:p>
    <w:p>
      <w:pPr>
        <w:spacing w:after="40" w:before="0"/>
      </w:pPr>
      <w:r>
        <w:rPr>
          <w:b w:val="0"/>
          <w:i/>
          <w:color w:val="787878"/>
          <w:sz w:val="16"/>
        </w:rPr>
        <w:t>[IMAGE: EYLEA / Bayer / Universal Medica logos]</w:t>
      </w:r>
    </w:p>
    <w:p>
      <w:pPr>
        <w:spacing w:after="40" w:before="0"/>
        <w:jc w:val="center"/>
      </w:pPr>
      <w:r>
        <w:rPr>
          <w:b/>
          <w:i w:val="0"/>
          <w:color w:val="1F3864"/>
          <w:sz w:val="30"/>
        </w:rPr>
        <w:t>In the Event of an Injection Initiation Failure</w:t>
      </w:r>
    </w:p>
    <w:p>
      <w:pPr>
        <w:spacing w:after="160" w:before="0"/>
        <w:jc w:val="center"/>
      </w:pPr>
      <w:r>
        <w:rPr>
          <w:b/>
          <w:i w:val="0"/>
          <w:color w:val="1F3864"/>
          <w:sz w:val="26"/>
        </w:rPr>
        <w:t>EYLEA® Replacement Program</w:t>
      </w:r>
    </w:p>
    <w:p>
      <w:pPr>
        <w:spacing w:after="120" w:before="0"/>
      </w:pPr>
      <w:r>
        <w:rPr>
          <w:b w:val="0"/>
          <w:i w:val="0"/>
          <w:sz w:val="20"/>
        </w:rPr>
        <w:t>In the case of an injection failure only, and after assessment of the request, the EYLEA® replacement program may provide healthcare professionals with a replacement EYLEA® unit.</w:t>
      </w:r>
    </w:p>
    <w:p>
      <w:pPr>
        <w:spacing w:after="40" w:before="0"/>
      </w:pPr>
      <w:r>
        <w:rPr>
          <w:b/>
          <w:i w:val="0"/>
          <w:sz w:val="20"/>
        </w:rPr>
        <w:t>Form to be returned, completed and signed, by email, fax, or mail to:</w:t>
      </w:r>
    </w:p>
    <w:tbl>
      <w:tblPr>
        <w:tblStyle w:val="TableGrid"/>
        <w:tblW w:type="auto" w:w="0"/>
        <w:tblLook w:firstColumn="1" w:firstRow="1" w:lastColumn="0" w:lastRow="0" w:noHBand="0" w:noVBand="1" w:val="04A0"/>
      </w:tblPr>
      <w:tblGrid>
        <w:gridCol w:w="1584"/>
        <w:gridCol w:w="7920"/>
      </w:tblGrid>
      <w:tr>
        <w:tc>
          <w:tcPr>
            <w:tcW w:type="dxa" w:w="5256"/>
          </w:tcPr>
          <w:p>
            <w:r/>
            <w:r>
              <w:rPr>
                <w:b/>
                <w:i w:val="0"/>
                <w:sz w:val="18"/>
              </w:rPr>
              <w:t>Email:</w:t>
            </w:r>
          </w:p>
        </w:tc>
        <w:tc>
          <w:tcPr>
            <w:tcW w:type="dxa" w:w="5256"/>
          </w:tcPr>
          <w:p>
            <w:r/>
            <w:r>
              <w:rPr>
                <w:b w:val="0"/>
                <w:i w:val="0"/>
                <w:sz w:val="18"/>
              </w:rPr>
              <w:t>programme-remplacement-eylea@universalmedica.com</w:t>
            </w:r>
          </w:p>
        </w:tc>
      </w:tr>
      <w:tr>
        <w:tc>
          <w:tcPr>
            <w:tcW w:type="dxa" w:w="5256"/>
          </w:tcPr>
          <w:p>
            <w:r/>
            <w:r>
              <w:rPr>
                <w:b/>
                <w:i w:val="0"/>
                <w:sz w:val="18"/>
              </w:rPr>
              <w:t>Fax:</w:t>
            </w:r>
          </w:p>
        </w:tc>
        <w:tc>
          <w:tcPr>
            <w:tcW w:type="dxa" w:w="5256"/>
          </w:tcPr>
          <w:p>
            <w:r/>
            <w:r>
              <w:rPr>
                <w:b w:val="0"/>
                <w:i w:val="0"/>
                <w:sz w:val="18"/>
              </w:rPr>
              <w:t>01 86 95 44 85</w:t>
            </w:r>
          </w:p>
        </w:tc>
      </w:tr>
      <w:tr>
        <w:tc>
          <w:tcPr>
            <w:tcW w:type="dxa" w:w="5256"/>
          </w:tcPr>
          <w:p>
            <w:r/>
            <w:r>
              <w:rPr>
                <w:b/>
                <w:i w:val="0"/>
                <w:sz w:val="18"/>
              </w:rPr>
              <w:t>Address:</w:t>
            </w:r>
          </w:p>
        </w:tc>
        <w:tc>
          <w:tcPr>
            <w:tcW w:type="dxa" w:w="5256"/>
          </w:tcPr>
          <w:p>
            <w:r/>
            <w:r>
              <w:rPr>
                <w:b w:val="0"/>
                <w:i w:val="0"/>
                <w:sz w:val="18"/>
              </w:rPr>
              <w:t>Universal Medica, 106 bureaux de la colline, 92213 SAINT-CLOUD cedex</w:t>
            </w:r>
          </w:p>
        </w:tc>
      </w:tr>
    </w:tbl>
    <w:p>
      <w:pPr>
        <w:spacing w:after="40" w:before="80"/>
      </w:pPr>
      <w:r>
        <w:rPr>
          <w:b w:val="0"/>
          <w:i w:val="0"/>
          <w:sz w:val="18"/>
        </w:rPr>
        <w:t>The case will be reviewed based on the consistency of the information provided in this form.</w:t>
      </w:r>
    </w:p>
    <w:p>
      <w:pPr>
        <w:spacing w:after="80" w:before="0"/>
      </w:pPr>
      <w:r>
        <w:rPr>
          <w:b/>
          <w:i w:val="0"/>
          <w:sz w:val="18"/>
        </w:rPr>
        <w:t>To speed up the processing of your request, please use email.</w:t>
      </w:r>
    </w:p>
    <w:tbl>
      <w:tblPr>
        <w:tblStyle w:val="TableGrid"/>
        <w:tblW w:type="auto" w:w="0"/>
        <w:tblLook w:firstColumn="1" w:firstRow="1" w:lastColumn="0" w:lastRow="0" w:noHBand="0" w:noVBand="1" w:val="04A0"/>
      </w:tblPr>
      <w:tblGrid>
        <w:gridCol w:w="10512"/>
      </w:tblGrid>
      <w:tr>
        <w:tc>
          <w:tcPr>
            <w:tcW w:type="dxa" w:w="10512"/>
            <w:shd w:val="clear" w:color="auto" w:fill="FCE4D6"/>
          </w:tcPr>
          <w:p>
            <w:r/>
            <w:r>
              <w:rPr>
                <w:b/>
                <w:sz w:val="18"/>
              </w:rPr>
              <w:t xml:space="preserve">IMPORTANT: </w:t>
            </w:r>
            <w:r>
              <w:rPr>
                <w:sz w:val="18"/>
              </w:rPr>
              <w:t>The information, duly completed, must be consistent in order to allow the eligibility of the request to be assessed. Bayer HealthCare reserves the right to approve or reject a request.</w:t>
            </w:r>
          </w:p>
          <w:p>
            <w:r>
              <w:rPr>
                <w:b/>
                <w:sz w:val="18"/>
              </w:rPr>
              <w:t>This form is not intended for the reporting of adverse events.</w:t>
            </w:r>
          </w:p>
          <w:p>
            <w:r>
              <w:rPr>
                <w:sz w:val="18"/>
              </w:rPr>
              <w:t>You may also contact Bayer at the following number for Pharmacovigilance and medical information: 0 800 87 54 54, or use our reporting page https://safetrack-public.bayer.com/</w:t>
            </w:r>
          </w:p>
        </w:tc>
      </w:tr>
    </w:tbl>
    <w:p>
      <w:pPr>
        <w:spacing w:after="120" w:before="80"/>
      </w:pPr>
      <w:r>
        <w:rPr>
          <w:b w:val="0"/>
          <w:i/>
          <w:color w:val="C80000"/>
          <w:sz w:val="16"/>
        </w:rPr>
        <w:t>* Mandatory fields</w:t>
      </w:r>
    </w:p>
    <w:tbl>
      <w:tblPr>
        <w:tblW w:type="auto" w:w="0"/>
        <w:jc w:val="center"/>
        <w:tblLayout w:type="autofit"/>
        <w:tblLook w:firstColumn="1" w:firstRow="1" w:lastColumn="0" w:lastRow="0" w:noHBand="0" w:noVBand="1" w:val="04A0"/>
      </w:tblPr>
      <w:tblGrid>
        <w:gridCol w:w="10512"/>
      </w:tblGrid>
      <w:tr>
        <w:tc>
          <w:tcPr>
            <w:tcW w:type="dxa" w:w="10512"/>
            <w:shd w:val="clear" w:color="auto" w:fill="1F3864"/>
          </w:tcPr>
          <w:p>
            <w:r/>
            <w:r>
              <w:rPr>
                <w:b/>
                <w:i w:val="0"/>
                <w:color w:val="FFFFFF"/>
                <w:sz w:val="22"/>
              </w:rPr>
              <w:t>SECTION 1  -  Product and Healthcare Professional Information</w:t>
            </w:r>
          </w:p>
        </w:tc>
      </w:tr>
    </w:tbl>
    <w:p>
      <w:pPr>
        <w:spacing w:after="40"/>
      </w:pPr>
    </w:p>
    <w:tbl>
      <w:tblPr>
        <w:tblStyle w:val="TableGrid"/>
        <w:tblW w:type="auto" w:w="0"/>
        <w:tblLook w:firstColumn="1" w:firstRow="1" w:lastColumn="0" w:lastRow="0" w:noHBand="0" w:noVBand="1" w:val="04A0"/>
      </w:tblPr>
      <w:tblGrid>
        <w:gridCol w:w="5256"/>
        <w:gridCol w:w="5256"/>
      </w:tblGrid>
      <w:tr>
        <w:tc>
          <w:tcPr>
            <w:tcW w:type="dxa" w:w="5256"/>
          </w:tcPr>
          <w:p>
            <w:r/>
            <w:r>
              <w:rPr>
                <w:b w:val="0"/>
                <w:i w:val="0"/>
                <w:sz w:val="18"/>
              </w:rPr>
              <w:t>EYLEA® lot no.*  (7 characters shown on the box after « LOT » and before « EXP » followed by the expiration date):</w:t>
              <w:br/>
              <w:t>[UNCLEAR: handwritten lot number not legibly captured — verify on source]</w:t>
            </w:r>
          </w:p>
        </w:tc>
        <w:tc>
          <w:tcPr>
            <w:tcW w:type="dxa" w:w="5256"/>
          </w:tcPr>
          <w:p>
            <w:r/>
            <w:r>
              <w:rPr>
                <w:b/>
              </w:rPr>
              <w:t>Product available:</w:t>
            </w:r>
            <w:r>
              <w:rPr>
                <w:sz w:val="20"/>
              </w:rPr>
              <w:br/>
              <w:t>☒ yes    ☐ no</w:t>
            </w:r>
          </w:p>
        </w:tc>
      </w:tr>
    </w:tbl>
    <w:tbl>
      <w:tblPr>
        <w:tblStyle w:val="TableGrid"/>
        <w:tblW w:type="auto" w:w="0"/>
        <w:tblLook w:firstColumn="1" w:firstRow="1" w:lastColumn="0" w:lastRow="0" w:noHBand="0" w:noVBand="1" w:val="04A0"/>
      </w:tblPr>
      <w:tblGrid>
        <w:gridCol w:w="5256"/>
        <w:gridCol w:w="5256"/>
      </w:tblGrid>
      <w:tr>
        <w:tc>
          <w:tcPr>
            <w:tcW w:type="dxa" w:w="5256"/>
          </w:tcPr>
          <w:p>
            <w:r/>
            <w:r>
              <w:rPr>
                <w:b/>
                <w:i w:val="0"/>
                <w:sz w:val="18"/>
              </w:rPr>
              <w:t>EYLEA 40 mg/mL:</w:t>
            </w:r>
          </w:p>
        </w:tc>
        <w:tc>
          <w:tcPr>
            <w:tcW w:type="dxa" w:w="5256"/>
          </w:tcPr>
          <w:p>
            <w:r/>
            <w:r>
              <w:rPr>
                <w:b w:val="0"/>
                <w:i w:val="0"/>
                <w:sz w:val="20"/>
              </w:rPr>
              <w:t>☐ Vial      ☐ Pre-filled syringe</w:t>
            </w:r>
          </w:p>
        </w:tc>
      </w:tr>
      <w:tr>
        <w:tc>
          <w:tcPr>
            <w:tcW w:type="dxa" w:w="5256"/>
          </w:tcPr>
          <w:p>
            <w:r/>
            <w:r>
              <w:rPr>
                <w:b/>
                <w:i w:val="0"/>
                <w:sz w:val="18"/>
              </w:rPr>
              <w:t>EYLEA 114.3 mg/mL:</w:t>
            </w:r>
          </w:p>
        </w:tc>
        <w:tc>
          <w:tcPr>
            <w:tcW w:type="dxa" w:w="5256"/>
          </w:tcPr>
          <w:p>
            <w:r/>
            <w:r>
              <w:rPr>
                <w:b w:val="0"/>
                <w:i w:val="0"/>
                <w:sz w:val="20"/>
              </w:rPr>
              <w:t>☐ Vial      ☒ Pre-filled syringe</w:t>
            </w:r>
          </w:p>
        </w:tc>
      </w:tr>
    </w:tbl>
    <w:p>
      <w:pPr>
        <w:spacing w:after="80" w:before="80"/>
      </w:pPr>
      <w:r>
        <w:rPr>
          <w:b w:val="0"/>
          <w:i w:val="0"/>
          <w:sz w:val="18"/>
        </w:rPr>
        <w:t>Date of the event*: [UNCLEAR: handwritten date not legibly captured]</w:t>
      </w:r>
    </w:p>
    <w:tbl>
      <w:tblPr>
        <w:tblStyle w:val="TableGrid"/>
        <w:tblW w:type="auto" w:w="0"/>
        <w:tblLook w:firstColumn="1" w:firstRow="1" w:lastColumn="0" w:lastRow="0" w:noHBand="0" w:noVBand="1" w:val="04A0"/>
      </w:tblPr>
      <w:tblGrid>
        <w:gridCol w:w="4320"/>
        <w:gridCol w:w="5184"/>
      </w:tblGrid>
      <w:tr>
        <w:tc>
          <w:tcPr>
            <w:tcW w:type="dxa" w:w="5256"/>
          </w:tcPr>
          <w:p>
            <w:r/>
            <w:r>
              <w:rPr>
                <w:b/>
                <w:i w:val="0"/>
                <w:sz w:val="18"/>
              </w:rPr>
              <w:t>First name, last name of the healthcare professional*</w:t>
            </w:r>
          </w:p>
        </w:tc>
        <w:tc>
          <w:tcPr>
            <w:tcW w:type="dxa" w:w="5256"/>
          </w:tcPr>
          <w:p>
            <w:r/>
            <w:r>
              <w:rPr>
                <w:b w:val="0"/>
                <w:i w:val="0"/>
                <w:sz w:val="18"/>
              </w:rPr>
              <w:t>Doctor G. [UNCLEAR: ASSAD / MEILLON — handwritten surname partly illegible]</w:t>
            </w:r>
          </w:p>
        </w:tc>
      </w:tr>
      <w:tr>
        <w:tc>
          <w:tcPr>
            <w:tcW w:type="dxa" w:w="5256"/>
          </w:tcPr>
          <w:p>
            <w:r/>
            <w:r>
              <w:rPr>
                <w:b/>
                <w:i w:val="0"/>
                <w:sz w:val="18"/>
              </w:rPr>
              <w:t>RPPS no. or Ordre Council (Conseil de l'Ordre) no.*</w:t>
            </w:r>
          </w:p>
        </w:tc>
        <w:tc>
          <w:tcPr>
            <w:tcW w:type="dxa" w:w="5256"/>
          </w:tcPr>
          <w:p>
            <w:r/>
            <w:r>
              <w:rPr>
                <w:b w:val="0"/>
                <w:i w:val="0"/>
                <w:sz w:val="18"/>
              </w:rPr>
              <w:t>RPPS 10100959542 [UNCLEAR: verify digits]</w:t>
            </w:r>
          </w:p>
        </w:tc>
      </w:tr>
      <w:tr>
        <w:tc>
          <w:tcPr>
            <w:tcW w:type="dxa" w:w="5256"/>
          </w:tcPr>
          <w:p>
            <w:r/>
            <w:r>
              <w:rPr>
                <w:b/>
                <w:i w:val="0"/>
                <w:sz w:val="18"/>
              </w:rPr>
              <w:t>Specialty*</w:t>
            </w:r>
          </w:p>
        </w:tc>
        <w:tc>
          <w:tcPr>
            <w:tcW w:type="dxa" w:w="5256"/>
          </w:tcPr>
          <w:p>
            <w:r/>
            <w:r>
              <w:rPr>
                <w:b w:val="0"/>
                <w:i w:val="0"/>
                <w:sz w:val="18"/>
              </w:rPr>
              <w:t>Ophthalmologist</w:t>
            </w:r>
          </w:p>
        </w:tc>
      </w:tr>
      <w:tr>
        <w:tc>
          <w:tcPr>
            <w:tcW w:type="dxa" w:w="5256"/>
          </w:tcPr>
          <w:p>
            <w:r/>
            <w:r>
              <w:rPr>
                <w:b/>
                <w:i w:val="0"/>
                <w:sz w:val="18"/>
              </w:rPr>
              <w:t>Medical office / Clinic / Hospital</w:t>
            </w:r>
          </w:p>
        </w:tc>
        <w:tc>
          <w:tcPr>
            <w:tcW w:type="dxa" w:w="5256"/>
          </w:tcPr>
          <w:p>
            <w:r/>
            <w:r>
              <w:rPr>
                <w:b w:val="0"/>
                <w:i w:val="0"/>
                <w:sz w:val="18"/>
              </w:rPr>
              <w:t>Ophthalmologist, Contracted – Sector II (Conventionné Secteur II)</w:t>
              <w:br/>
              <w:t>Parc Valmy, 9 rue Jeanne Barret</w:t>
            </w:r>
          </w:p>
        </w:tc>
      </w:tr>
      <w:tr>
        <w:tc>
          <w:tcPr>
            <w:tcW w:type="dxa" w:w="5256"/>
          </w:tcPr>
          <w:p>
            <w:r/>
            <w:r>
              <w:rPr>
                <w:b/>
                <w:i w:val="0"/>
                <w:sz w:val="18"/>
              </w:rPr>
              <w:t>Street</w:t>
            </w:r>
          </w:p>
        </w:tc>
        <w:tc>
          <w:tcPr>
            <w:tcW w:type="dxa" w:w="5256"/>
          </w:tcPr>
          <w:p>
            <w:r/>
            <w:r>
              <w:rPr>
                <w:b w:val="0"/>
                <w:i w:val="0"/>
                <w:sz w:val="18"/>
              </w:rPr>
              <w:t>9 rue Jeanne Barret</w:t>
            </w:r>
          </w:p>
        </w:tc>
      </w:tr>
      <w:tr>
        <w:tc>
          <w:tcPr>
            <w:tcW w:type="dxa" w:w="5256"/>
          </w:tcPr>
          <w:p>
            <w:r/>
            <w:r>
              <w:rPr>
                <w:b/>
                <w:i w:val="0"/>
                <w:sz w:val="18"/>
              </w:rPr>
              <w:t>City</w:t>
            </w:r>
          </w:p>
        </w:tc>
        <w:tc>
          <w:tcPr>
            <w:tcW w:type="dxa" w:w="5256"/>
          </w:tcPr>
          <w:p>
            <w:r/>
            <w:r>
              <w:rPr>
                <w:b w:val="0"/>
                <w:i w:val="0"/>
                <w:sz w:val="18"/>
              </w:rPr>
              <w:t>DIJON</w:t>
            </w:r>
          </w:p>
        </w:tc>
      </w:tr>
      <w:tr>
        <w:tc>
          <w:tcPr>
            <w:tcW w:type="dxa" w:w="5256"/>
          </w:tcPr>
          <w:p>
            <w:r/>
            <w:r>
              <w:rPr>
                <w:b/>
                <w:i w:val="0"/>
                <w:sz w:val="18"/>
              </w:rPr>
              <w:t>Postal code</w:t>
            </w:r>
          </w:p>
        </w:tc>
        <w:tc>
          <w:tcPr>
            <w:tcW w:type="dxa" w:w="5256"/>
          </w:tcPr>
          <w:p>
            <w:r/>
            <w:r>
              <w:rPr>
                <w:b w:val="0"/>
                <w:i w:val="0"/>
                <w:sz w:val="18"/>
              </w:rPr>
              <w:t>21000 [UNCLEAR: reads “2T000/21000” on source]</w:t>
            </w:r>
          </w:p>
        </w:tc>
      </w:tr>
      <w:tr>
        <w:tc>
          <w:tcPr>
            <w:tcW w:type="dxa" w:w="5256"/>
          </w:tcPr>
          <w:p>
            <w:r/>
            <w:r>
              <w:rPr>
                <w:b/>
                <w:i w:val="0"/>
                <w:sz w:val="18"/>
              </w:rPr>
              <w:t>Phone</w:t>
            </w:r>
          </w:p>
        </w:tc>
        <w:tc>
          <w:tcPr>
            <w:tcW w:type="dxa" w:w="5256"/>
          </w:tcPr>
          <w:p>
            <w:r/>
            <w:r>
              <w:rPr>
                <w:b w:val="0"/>
                <w:i w:val="0"/>
                <w:sz w:val="18"/>
              </w:rPr>
              <w:t>[ILLEGIBLE]</w:t>
            </w:r>
          </w:p>
        </w:tc>
      </w:tr>
      <w:tr>
        <w:tc>
          <w:tcPr>
            <w:tcW w:type="dxa" w:w="5256"/>
          </w:tcPr>
          <w:p>
            <w:r/>
            <w:r>
              <w:rPr>
                <w:b/>
                <w:i w:val="0"/>
                <w:sz w:val="18"/>
              </w:rPr>
              <w:t>Fax</w:t>
            </w:r>
          </w:p>
        </w:tc>
        <w:tc>
          <w:tcPr>
            <w:tcW w:type="dxa" w:w="5256"/>
          </w:tcPr>
          <w:p>
            <w:r/>
            <w:r>
              <w:rPr>
                <w:b w:val="0"/>
                <w:i w:val="0"/>
                <w:sz w:val="18"/>
              </w:rPr>
              <w:t>[ILLEGIBLE]</w:t>
            </w:r>
          </w:p>
        </w:tc>
      </w:tr>
      <w:tr>
        <w:tc>
          <w:tcPr>
            <w:tcW w:type="dxa" w:w="5256"/>
          </w:tcPr>
          <w:p>
            <w:r/>
            <w:r>
              <w:rPr>
                <w:b/>
                <w:i w:val="0"/>
                <w:sz w:val="18"/>
              </w:rPr>
              <w:t>Email</w:t>
            </w:r>
          </w:p>
        </w:tc>
        <w:tc>
          <w:tcPr>
            <w:tcW w:type="dxa" w:w="5256"/>
          </w:tcPr>
          <w:p>
            <w:r/>
            <w:r>
              <w:rPr>
                <w:b w:val="0"/>
                <w:i w:val="0"/>
                <w:sz w:val="18"/>
              </w:rPr>
              <w:t>[ILLEGIBLE]</w:t>
            </w:r>
          </w:p>
        </w:tc>
      </w:tr>
    </w:tbl>
    <w:p>
      <w:pPr>
        <w:spacing w:after="40" w:before="80"/>
      </w:pPr>
      <w:r>
        <w:rPr>
          <w:b w:val="0"/>
          <w:i w:val="0"/>
          <w:sz w:val="18"/>
        </w:rPr>
        <w:t>First letter of the first name and first two letters of the last name of the patient receiving the injection*: [UNCLEAR: handwritten patient initials not legibly captured]</w:t>
      </w:r>
    </w:p>
    <w:p>
      <w:pPr>
        <w:spacing w:after="80" w:before="0"/>
      </w:pPr>
      <w:r>
        <w:rPr>
          <w:b w:val="0"/>
          <w:i w:val="0"/>
          <w:sz w:val="18"/>
        </w:rPr>
        <w:t>Date of birth of the patient receiving the injection*: [UNCLEAR: handwritten date not legibly captured]</w:t>
      </w:r>
    </w:p>
    <w:p>
      <w:pPr>
        <w:spacing w:after="40" w:before="80"/>
      </w:pPr>
      <w:r>
        <w:rPr>
          <w:b/>
          <w:i w:val="0"/>
          <w:color w:val="1F3864"/>
          <w:sz w:val="20"/>
        </w:rPr>
        <w:t>Delivery address for the EYLEA® replacement</w:t>
      </w:r>
    </w:p>
    <w:p>
      <w:pPr>
        <w:spacing w:after="40" w:before="0"/>
      </w:pPr>
      <w:r>
        <w:rPr>
          <w:b w:val="0"/>
          <w:i w:val="0"/>
          <w:sz w:val="20"/>
        </w:rPr>
        <w:t>The delivery address is the same as the address mentioned above:   ☐ YES    ☐ NO</w:t>
      </w:r>
    </w:p>
    <w:p>
      <w:pPr>
        <w:spacing w:after="40" w:before="0"/>
      </w:pPr>
      <w:r>
        <w:rPr>
          <w:b w:val="0"/>
          <w:i w:val="0"/>
          <w:sz w:val="18"/>
        </w:rPr>
        <w:t>First name, last name of a contact person for the delivery: [UNCLEAR]</w:t>
      </w:r>
    </w:p>
    <w:p>
      <w:pPr>
        <w:spacing w:after="40" w:before="0"/>
      </w:pPr>
      <w:r>
        <w:rPr>
          <w:b w:val="0"/>
          <w:i/>
          <w:sz w:val="18"/>
        </w:rPr>
        <w:t>If the address differs from the address mentioned above, please fill in the boxes below:</w:t>
      </w:r>
    </w:p>
    <w:tbl>
      <w:tblPr>
        <w:tblStyle w:val="TableGrid"/>
        <w:tblW w:type="auto" w:w="0"/>
        <w:tblLook w:firstColumn="1" w:firstRow="1" w:lastColumn="0" w:lastRow="0" w:noHBand="0" w:noVBand="1" w:val="04A0"/>
      </w:tblPr>
      <w:tblGrid>
        <w:gridCol w:w="5256"/>
        <w:gridCol w:w="5256"/>
      </w:tblGrid>
      <w:tr>
        <w:tc>
          <w:tcPr>
            <w:tcW w:type="dxa" w:w="5256"/>
          </w:tcPr>
          <w:p>
            <w:r/>
            <w:r>
              <w:rPr>
                <w:b/>
                <w:i w:val="0"/>
                <w:sz w:val="18"/>
              </w:rPr>
              <w:t>Delivery location (Medical office / Clinic / Hospital / Pharmacy):</w:t>
            </w:r>
          </w:p>
        </w:tc>
        <w:tc>
          <w:tcPr>
            <w:tcW w:type="dxa" w:w="5256"/>
          </w:tcPr>
          <w:p>
            <w:r/>
            <w:r>
              <w:rPr>
                <w:b w:val="0"/>
                <w:i w:val="0"/>
                <w:sz w:val="18"/>
              </w:rPr>
              <w:t>[not completed]</w:t>
            </w:r>
          </w:p>
        </w:tc>
      </w:tr>
      <w:tr>
        <w:tc>
          <w:tcPr>
            <w:tcW w:type="dxa" w:w="5256"/>
          </w:tcPr>
          <w:p>
            <w:r/>
            <w:r>
              <w:rPr>
                <w:b/>
                <w:i w:val="0"/>
                <w:sz w:val="18"/>
              </w:rPr>
              <w:t>Street / City / Postal code</w:t>
            </w:r>
          </w:p>
        </w:tc>
        <w:tc>
          <w:tcPr>
            <w:tcW w:type="dxa" w:w="5256"/>
          </w:tcPr>
          <w:p>
            <w:r/>
            <w:r>
              <w:rPr>
                <w:b w:val="0"/>
                <w:i w:val="0"/>
                <w:sz w:val="18"/>
              </w:rPr>
              <w:t>[not completed]</w:t>
            </w:r>
          </w:p>
        </w:tc>
      </w:tr>
      <w:tr>
        <w:tc>
          <w:tcPr>
            <w:tcW w:type="dxa" w:w="5256"/>
          </w:tcPr>
          <w:p>
            <w:r/>
            <w:r>
              <w:rPr>
                <w:b/>
                <w:i w:val="0"/>
                <w:sz w:val="18"/>
              </w:rPr>
              <w:t>Fax</w:t>
            </w:r>
          </w:p>
        </w:tc>
        <w:tc>
          <w:tcPr>
            <w:tcW w:type="dxa" w:w="5256"/>
          </w:tcPr>
          <w:p>
            <w:r/>
            <w:r>
              <w:rPr>
                <w:b w:val="0"/>
                <w:i w:val="0"/>
                <w:sz w:val="18"/>
              </w:rPr>
              <w:t>[not completed]</w:t>
            </w:r>
          </w:p>
        </w:tc>
      </w:tr>
    </w:tbl>
    <w:p>
      <w:pPr>
        <w:spacing w:after="40" w:before="80"/>
      </w:pPr>
      <w:r>
        <w:rPr>
          <w:b/>
          <w:i w:val="0"/>
          <w:sz w:val="18"/>
        </w:rPr>
        <w:t>Important information for the delivery (e.g., opening hours):</w:t>
      </w:r>
    </w:p>
    <w:tbl>
      <w:tblPr>
        <w:tblStyle w:val="TableGrid"/>
        <w:tblW w:type="auto" w:w="0"/>
        <w:tblLook w:firstColumn="1" w:firstRow="1" w:lastColumn="0" w:lastRow="0" w:noHBand="0" w:noVBand="1" w:val="04A0"/>
      </w:tblPr>
      <w:tblGrid>
        <w:gridCol w:w="1872"/>
        <w:gridCol w:w="7632"/>
      </w:tblGrid>
      <w:tr>
        <w:tc>
          <w:tcPr>
            <w:tcW w:type="dxa" w:w="5256"/>
          </w:tcPr>
          <w:p>
            <w:r/>
            <w:r>
              <w:rPr>
                <w:b/>
                <w:i w:val="0"/>
                <w:sz w:val="18"/>
              </w:rPr>
              <w:t>Monday</w:t>
            </w:r>
          </w:p>
        </w:tc>
        <w:tc>
          <w:tcPr>
            <w:tcW w:type="dxa" w:w="5256"/>
          </w:tcPr>
          <w:p>
            <w:r/>
            <w:r>
              <w:rPr>
                <w:b w:val="0"/>
                <w:i w:val="0"/>
                <w:sz w:val="18"/>
              </w:rPr>
              <w:t>7:45 a.m. – 12 p.m. / 1:30 p.m. – 6 p.m.</w:t>
            </w:r>
          </w:p>
        </w:tc>
      </w:tr>
      <w:tr>
        <w:tc>
          <w:tcPr>
            <w:tcW w:type="dxa" w:w="5256"/>
          </w:tcPr>
          <w:p>
            <w:r/>
            <w:r>
              <w:rPr>
                <w:b/>
                <w:i w:val="0"/>
                <w:sz w:val="18"/>
              </w:rPr>
              <w:t>Tuesday</w:t>
            </w:r>
          </w:p>
        </w:tc>
        <w:tc>
          <w:tcPr>
            <w:tcW w:type="dxa" w:w="5256"/>
          </w:tcPr>
          <w:p>
            <w:r/>
            <w:r>
              <w:rPr>
                <w:b w:val="0"/>
                <w:i w:val="0"/>
                <w:sz w:val="18"/>
              </w:rPr>
              <w:t>7:45 a.m. – 12 p.m. / 1:45 p.m. – 6 p.m.</w:t>
            </w:r>
          </w:p>
        </w:tc>
      </w:tr>
      <w:tr>
        <w:tc>
          <w:tcPr>
            <w:tcW w:type="dxa" w:w="5256"/>
          </w:tcPr>
          <w:p>
            <w:r/>
            <w:r>
              <w:rPr>
                <w:b/>
                <w:i w:val="0"/>
                <w:sz w:val="18"/>
              </w:rPr>
              <w:t>Wednesday</w:t>
            </w:r>
          </w:p>
        </w:tc>
        <w:tc>
          <w:tcPr>
            <w:tcW w:type="dxa" w:w="5256"/>
          </w:tcPr>
          <w:p>
            <w:r/>
            <w:r>
              <w:rPr>
                <w:b w:val="0"/>
                <w:i w:val="0"/>
                <w:sz w:val="18"/>
              </w:rPr>
              <w:t>8:30 a.m. – 12 p.m. / 1:30 p.m. – 6 p.m.</w:t>
            </w:r>
          </w:p>
        </w:tc>
      </w:tr>
      <w:tr>
        <w:tc>
          <w:tcPr>
            <w:tcW w:type="dxa" w:w="5256"/>
          </w:tcPr>
          <w:p>
            <w:r/>
            <w:r>
              <w:rPr>
                <w:b/>
                <w:i w:val="0"/>
                <w:sz w:val="18"/>
              </w:rPr>
              <w:t>Thursday</w:t>
            </w:r>
          </w:p>
        </w:tc>
        <w:tc>
          <w:tcPr>
            <w:tcW w:type="dxa" w:w="5256"/>
          </w:tcPr>
          <w:p>
            <w:r/>
            <w:r>
              <w:rPr>
                <w:b w:val="0"/>
                <w:i w:val="0"/>
                <w:sz w:val="18"/>
              </w:rPr>
              <w:t>7:45 a.m. – 12 p.m. / 1:45 p.m. – 6 p.m.</w:t>
            </w:r>
          </w:p>
        </w:tc>
      </w:tr>
      <w:tr>
        <w:tc>
          <w:tcPr>
            <w:tcW w:type="dxa" w:w="5256"/>
          </w:tcPr>
          <w:p>
            <w:r/>
            <w:r>
              <w:rPr>
                <w:b/>
                <w:i w:val="0"/>
                <w:sz w:val="18"/>
              </w:rPr>
              <w:t>Friday</w:t>
            </w:r>
          </w:p>
        </w:tc>
        <w:tc>
          <w:tcPr>
            <w:tcW w:type="dxa" w:w="5256"/>
          </w:tcPr>
          <w:p>
            <w:r/>
            <w:r>
              <w:rPr>
                <w:b w:val="0"/>
                <w:i w:val="0"/>
                <w:sz w:val="18"/>
              </w:rPr>
              <w:t>7:45 a.m. – 12 p.m. / 1:45 p.m. – 4:30 p.m.</w:t>
            </w:r>
          </w:p>
        </w:tc>
      </w:tr>
    </w:tbl>
    <w:p>
      <w:r>
        <w:br w:type="page"/>
      </w:r>
    </w:p>
    <w:tbl>
      <w:tblPr>
        <w:tblW w:type="auto" w:w="0"/>
        <w:jc w:val="center"/>
        <w:tblLayout w:type="autofit"/>
        <w:tblLook w:firstColumn="1" w:firstRow="1" w:lastColumn="0" w:lastRow="0" w:noHBand="0" w:noVBand="1" w:val="04A0"/>
      </w:tblPr>
      <w:tblGrid>
        <w:gridCol w:w="10512"/>
      </w:tblGrid>
      <w:tr>
        <w:tc>
          <w:tcPr>
            <w:tcW w:type="dxa" w:w="10512"/>
            <w:shd w:val="clear" w:color="auto" w:fill="1F3864"/>
          </w:tcPr>
          <w:p>
            <w:r/>
            <w:r>
              <w:rPr>
                <w:b/>
                <w:i w:val="0"/>
                <w:color w:val="FFFFFF"/>
                <w:sz w:val="22"/>
              </w:rPr>
              <w:t>SECTION 2  -  Reasons for the EYLEA® Replacement Request</w:t>
            </w:r>
          </w:p>
        </w:tc>
      </w:tr>
    </w:tbl>
    <w:p>
      <w:pPr>
        <w:spacing w:after="40"/>
      </w:pPr>
    </w:p>
    <w:p>
      <w:pPr>
        <w:spacing w:after="80" w:before="0"/>
      </w:pPr>
      <w:r>
        <w:rPr>
          <w:b w:val="0"/>
          <w:i w:val="0"/>
          <w:sz w:val="18"/>
        </w:rPr>
        <w:t>Reasons for the EYLEA® replacement request (check the box(es) that correspond to your request). In all cases, the return of the product concerned, which is necessary for the investigations, is mandatory.</w:t>
      </w:r>
    </w:p>
    <w:p>
      <w:pPr>
        <w:spacing w:after="40" w:before="40"/>
      </w:pPr>
      <w:r>
        <w:rPr>
          <w:b/>
          <w:i w:val="0"/>
          <w:color w:val="1F3864"/>
          <w:sz w:val="20"/>
        </w:rPr>
        <w:t>I = Product quality complaint occurring before the injection</w:t>
      </w:r>
    </w:p>
    <w:p>
      <w:pPr>
        <w:spacing w:after="20"/>
        <w:ind w:left="288"/>
      </w:pPr>
      <w:r>
        <w:rPr>
          <w:sz w:val="18"/>
        </w:rPr>
        <w:t>☐ (a) Low liquid level</w:t>
      </w:r>
    </w:p>
    <w:p>
      <w:pPr>
        <w:spacing w:after="20"/>
        <w:ind w:left="288"/>
      </w:pPr>
      <w:r>
        <w:rPr>
          <w:sz w:val="18"/>
        </w:rPr>
        <w:t>☐ (b) Sterile blister opened</w:t>
      </w:r>
    </w:p>
    <w:p>
      <w:pPr>
        <w:spacing w:after="20"/>
        <w:ind w:left="288"/>
      </w:pPr>
      <w:r>
        <w:rPr>
          <w:sz w:val="18"/>
        </w:rPr>
        <w:t>☐ (c) Cloudy product or product containing particles</w:t>
      </w:r>
    </w:p>
    <w:p>
      <w:pPr>
        <w:spacing w:after="20"/>
        <w:ind w:left="288"/>
      </w:pPr>
      <w:r>
        <w:rPr>
          <w:sz w:val="18"/>
        </w:rPr>
        <w:t>☐ (d) Missing component (to be specified)</w:t>
      </w:r>
    </w:p>
    <w:p>
      <w:pPr>
        <w:spacing w:after="20"/>
        <w:ind w:left="288"/>
      </w:pPr>
      <w:r>
        <w:rPr>
          <w:sz w:val="18"/>
        </w:rPr>
        <w:t>☐ (e) Damaged syringe/vial that does not allow the sterility of the product to be guaranteed (to be specified)</w:t>
      </w:r>
    </w:p>
    <w:p>
      <w:pPr>
        <w:spacing w:after="20"/>
        <w:ind w:left="288"/>
      </w:pPr>
      <w:r>
        <w:rPr>
          <w:sz w:val="18"/>
        </w:rPr>
        <w:t>☐ (f) Blocked needle</w:t>
      </w:r>
    </w:p>
    <w:p>
      <w:pPr>
        <w:spacing w:after="20"/>
        <w:ind w:left="288"/>
      </w:pPr>
      <w:r>
        <w:rPr>
          <w:sz w:val="18"/>
        </w:rPr>
        <w:t>☐ (g) The syringe plunger jams</w:t>
      </w:r>
    </w:p>
    <w:p>
      <w:pPr>
        <w:spacing w:after="20"/>
        <w:ind w:left="288"/>
      </w:pPr>
      <w:r>
        <w:rPr>
          <w:sz w:val="18"/>
        </w:rPr>
        <w:t>☐ (h) The syringe cap does not open</w:t>
      </w:r>
    </w:p>
    <w:p>
      <w:pPr>
        <w:spacing w:after="20"/>
        <w:ind w:left="288"/>
      </w:pPr>
      <w:r>
        <w:rPr>
          <w:sz w:val="18"/>
        </w:rPr>
        <w:t>☐ (i) Defect of the syringe's Luer Lock tip (to be specified)</w:t>
      </w:r>
    </w:p>
    <w:p>
      <w:pPr>
        <w:spacing w:after="20"/>
        <w:ind w:left="288"/>
      </w:pPr>
      <w:r>
        <w:rPr>
          <w:sz w:val="18"/>
        </w:rPr>
        <w:t>☐ (j) [UNCLEAR] Needle type used and lot no. (if available)</w:t>
      </w:r>
    </w:p>
    <w:p>
      <w:pPr>
        <w:spacing w:after="20"/>
        <w:ind w:left="288"/>
      </w:pPr>
      <w:r>
        <w:rPr>
          <w:sz w:val="18"/>
        </w:rPr>
        <w:t>☐ (k) Dosing line on the syringe barely visible or not visible</w:t>
      </w:r>
    </w:p>
    <w:p>
      <w:pPr>
        <w:spacing w:after="20"/>
        <w:ind w:left="288"/>
      </w:pPr>
      <w:r>
        <w:rPr>
          <w:sz w:val="18"/>
        </w:rPr>
        <w:t>☐ (l) Label printing problem or defect</w:t>
      </w:r>
    </w:p>
    <w:p>
      <w:pPr>
        <w:spacing w:after="20"/>
        <w:ind w:left="288"/>
      </w:pPr>
      <w:r>
        <w:rPr>
          <w:sz w:val="18"/>
        </w:rPr>
        <w:t>☐ (m) Leaks, location (to be specified) – with occupational exposure to the product</w:t>
      </w:r>
    </w:p>
    <w:p>
      <w:pPr>
        <w:spacing w:after="20"/>
        <w:ind w:left="288"/>
      </w:pPr>
      <w:r>
        <w:rPr>
          <w:sz w:val="18"/>
        </w:rPr>
        <w:t>☐ (n) Leaks – without occupational exposure to the product</w:t>
      </w:r>
    </w:p>
    <w:p>
      <w:pPr>
        <w:spacing w:after="20"/>
        <w:ind w:left="288"/>
      </w:pPr>
      <w:r>
        <w:rPr>
          <w:sz w:val="18"/>
        </w:rPr>
        <w:t>☒ (o) Condensation/water found in the syringe blister upon opening</w:t>
      </w:r>
    </w:p>
    <w:p>
      <w:pPr>
        <w:spacing w:after="20"/>
        <w:ind w:left="288"/>
      </w:pPr>
      <w:r>
        <w:rPr>
          <w:sz w:val="18"/>
        </w:rPr>
        <w:t>☐ (p) The pre-filled syringe or the vial was broken. At what point? Is it a handling error?</w:t>
      </w:r>
    </w:p>
    <w:p>
      <w:pPr>
        <w:spacing w:after="20"/>
        <w:ind w:left="288"/>
      </w:pPr>
      <w:r>
        <w:rPr>
          <w:sz w:val="18"/>
        </w:rPr>
        <w:t>☐ (q) with occupational exposure to the product</w:t>
      </w:r>
    </w:p>
    <w:p>
      <w:pPr>
        <w:spacing w:after="20"/>
        <w:ind w:left="288"/>
      </w:pPr>
      <w:r>
        <w:rPr>
          <w:sz w:val="18"/>
        </w:rPr>
        <w:t>☐ (r) with a cut or injury following the handling of the syringe/vial/packaging</w:t>
      </w:r>
    </w:p>
    <w:p>
      <w:pPr>
        <w:spacing w:after="20"/>
        <w:ind w:left="288"/>
      </w:pPr>
      <w:r>
        <w:rPr>
          <w:sz w:val="18"/>
        </w:rPr>
        <w:t>☐ (s) without any of the consequences above</w:t>
      </w:r>
    </w:p>
    <w:p>
      <w:pPr>
        <w:spacing w:after="80" w:before="40"/>
      </w:pPr>
      <w:r>
        <w:rPr>
          <w:b w:val="0"/>
          <w:i w:val="0"/>
          <w:sz w:val="18"/>
        </w:rPr>
        <w:t>Description of the complaint: [UNCLEAR: handwritten text, possibly “Sa / Lea” – not legibly captured]</w:t>
      </w:r>
    </w:p>
    <w:p>
      <w:pPr>
        <w:spacing w:after="40" w:before="40"/>
      </w:pPr>
      <w:r>
        <w:rPr>
          <w:b/>
          <w:i w:val="0"/>
          <w:color w:val="1F3864"/>
          <w:sz w:val="20"/>
        </w:rPr>
        <w:t>II = Usage problem occurring before the injection</w:t>
      </w:r>
    </w:p>
    <w:p>
      <w:pPr>
        <w:spacing w:after="20"/>
        <w:ind w:left="288"/>
      </w:pPr>
      <w:r>
        <w:rPr>
          <w:sz w:val="18"/>
        </w:rPr>
        <w:t>☒ (a) Doubts about the storage of the product (cold chain break &gt; 24 h, or any exposure below +2°C or above +25°C)</w:t>
      </w:r>
    </w:p>
    <w:p>
      <w:pPr>
        <w:spacing w:after="20"/>
        <w:ind w:left="288"/>
      </w:pPr>
      <w:r>
        <w:rPr>
          <w:sz w:val="18"/>
        </w:rPr>
        <w:t>☐ (b) Contamination of EYLEA® before the injection (contact with a non-sterile surface)</w:t>
      </w:r>
    </w:p>
    <w:p>
      <w:pPr>
        <w:spacing w:after="40" w:before="120"/>
      </w:pPr>
      <w:r>
        <w:rPr>
          <w:b w:val="0"/>
          <w:i/>
          <w:color w:val="787878"/>
          <w:sz w:val="16"/>
        </w:rPr>
        <w:t>[IMAGE / STAMP]</w:t>
      </w:r>
    </w:p>
    <w:p>
      <w:pPr>
        <w:spacing w:after="40" w:before="0"/>
      </w:pPr>
      <w:r>
        <w:rPr>
          <w:b/>
          <w:i w:val="0"/>
          <w:sz w:val="18"/>
        </w:rPr>
        <w:t>Handwritten / stamped processing notes (for internal use):</w:t>
      </w:r>
    </w:p>
    <w:tbl>
      <w:tblPr>
        <w:tblStyle w:val="TableGrid"/>
        <w:tblW w:type="auto" w:w="0"/>
        <w:tblLook w:firstColumn="1" w:firstRow="1" w:lastColumn="0" w:lastRow="0" w:noHBand="0" w:noVBand="1" w:val="04A0"/>
      </w:tblPr>
      <w:tblGrid>
        <w:gridCol w:w="3312"/>
        <w:gridCol w:w="6192"/>
      </w:tblGrid>
      <w:tr>
        <w:tc>
          <w:tcPr>
            <w:tcW w:type="dxa" w:w="5256"/>
          </w:tcPr>
          <w:p>
            <w:r/>
            <w:r>
              <w:rPr>
                <w:b/>
                <w:i w:val="0"/>
                <w:sz w:val="18"/>
              </w:rPr>
              <w:t>Reference</w:t>
            </w:r>
          </w:p>
        </w:tc>
        <w:tc>
          <w:tcPr>
            <w:tcW w:type="dxa" w:w="5256"/>
          </w:tcPr>
          <w:p>
            <w:r/>
            <w:r>
              <w:rPr>
                <w:b w:val="0"/>
                <w:i w:val="0"/>
                <w:sz w:val="18"/>
              </w:rPr>
              <w:t>CRS-20260421-97-1</w:t>
            </w:r>
          </w:p>
        </w:tc>
      </w:tr>
      <w:tr>
        <w:tc>
          <w:tcPr>
            <w:tcW w:type="dxa" w:w="5256"/>
          </w:tcPr>
          <w:p>
            <w:r/>
            <w:r>
              <w:rPr>
                <w:b/>
                <w:i w:val="0"/>
                <w:sz w:val="18"/>
              </w:rPr>
              <w:t>Date</w:t>
            </w:r>
          </w:p>
        </w:tc>
        <w:tc>
          <w:tcPr>
            <w:tcW w:type="dxa" w:w="5256"/>
          </w:tcPr>
          <w:p>
            <w:r/>
            <w:r>
              <w:rPr>
                <w:b w:val="0"/>
                <w:i w:val="0"/>
                <w:sz w:val="18"/>
              </w:rPr>
              <w:t>04/21/2026</w:t>
            </w:r>
          </w:p>
        </w:tc>
      </w:tr>
      <w:tr>
        <w:tc>
          <w:tcPr>
            <w:tcW w:type="dxa" w:w="5256"/>
          </w:tcPr>
          <w:p>
            <w:r/>
            <w:r>
              <w:rPr>
                <w:b/>
                <w:i w:val="0"/>
                <w:sz w:val="18"/>
              </w:rPr>
              <w:t>Approved on (date)</w:t>
            </w:r>
          </w:p>
        </w:tc>
        <w:tc>
          <w:tcPr>
            <w:tcW w:type="dxa" w:w="5256"/>
          </w:tcPr>
          <w:p>
            <w:r/>
            <w:r>
              <w:rPr>
                <w:b w:val="0"/>
                <w:i w:val="0"/>
                <w:sz w:val="18"/>
              </w:rPr>
              <w:t>☒  04/21/2026</w:t>
            </w:r>
          </w:p>
        </w:tc>
      </w:tr>
      <w:tr>
        <w:tc>
          <w:tcPr>
            <w:tcW w:type="dxa" w:w="5256"/>
          </w:tcPr>
          <w:p>
            <w:r/>
            <w:r>
              <w:rPr>
                <w:b/>
                <w:i w:val="0"/>
                <w:sz w:val="18"/>
              </w:rPr>
              <w:t>Forwarded to QA (AQ) on (date)</w:t>
            </w:r>
          </w:p>
        </w:tc>
        <w:tc>
          <w:tcPr>
            <w:tcW w:type="dxa" w:w="5256"/>
          </w:tcPr>
          <w:p>
            <w:r/>
            <w:r>
              <w:rPr>
                <w:b w:val="0"/>
                <w:i w:val="0"/>
                <w:sz w:val="18"/>
              </w:rPr>
              <w:t>☒  04/21/2026</w:t>
            </w:r>
          </w:p>
        </w:tc>
      </w:tr>
      <w:tr>
        <w:tc>
          <w:tcPr>
            <w:tcW w:type="dxa" w:w="5256"/>
          </w:tcPr>
          <w:p>
            <w:r/>
            <w:r>
              <w:rPr>
                <w:b/>
                <w:i w:val="0"/>
                <w:sz w:val="18"/>
              </w:rPr>
              <w:t>Device return letter sent (date)</w:t>
            </w:r>
          </w:p>
        </w:tc>
        <w:tc>
          <w:tcPr>
            <w:tcW w:type="dxa" w:w="5256"/>
          </w:tcPr>
          <w:p>
            <w:r/>
            <w:r>
              <w:rPr>
                <w:b w:val="0"/>
                <w:i w:val="0"/>
                <w:sz w:val="18"/>
              </w:rPr>
              <w:t>☒  04/21/2026</w:t>
            </w:r>
          </w:p>
        </w:tc>
      </w:tr>
      <w:tr>
        <w:tc>
          <w:tcPr>
            <w:tcW w:type="dxa" w:w="5256"/>
          </w:tcPr>
          <w:p>
            <w:r/>
            <w:r>
              <w:rPr>
                <w:b/>
                <w:i w:val="0"/>
                <w:sz w:val="18"/>
              </w:rPr>
              <w:t>Follow-ups initiated</w:t>
            </w:r>
          </w:p>
        </w:tc>
        <w:tc>
          <w:tcPr>
            <w:tcW w:type="dxa" w:w="5256"/>
          </w:tcPr>
          <w:p>
            <w:r/>
            <w:r>
              <w:rPr>
                <w:b w:val="0"/>
                <w:i w:val="0"/>
                <w:sz w:val="18"/>
              </w:rPr>
              <w:t>☒  04/21/2026</w:t>
            </w:r>
          </w:p>
        </w:tc>
      </w:tr>
      <w:tr>
        <w:tc>
          <w:tcPr>
            <w:tcW w:type="dxa" w:w="5256"/>
          </w:tcPr>
          <w:p>
            <w:r/>
            <w:r>
              <w:rPr>
                <w:b/>
                <w:i w:val="0"/>
                <w:sz w:val="18"/>
              </w:rPr>
              <w:t>Note</w:t>
            </w:r>
          </w:p>
        </w:tc>
        <w:tc>
          <w:tcPr>
            <w:tcW w:type="dxa" w:w="5256"/>
          </w:tcPr>
          <w:p>
            <w:r/>
            <w:r>
              <w:rPr>
                <w:b w:val="0"/>
                <w:i w:val="0"/>
                <w:sz w:val="18"/>
              </w:rPr>
              <w:t>04/21/2026 – Follow-up for product availability, reasons checked, and pharmaceutical form. The secretariat indicates that the PFS (pre-filled syringe) is available and that there was no cold chain break.</w:t>
            </w:r>
          </w:p>
        </w:tc>
      </w:tr>
    </w:tbl>
    <w:p>
      <w:r>
        <w:br w:type="page"/>
      </w:r>
    </w:p>
    <w:tbl>
      <w:tblPr>
        <w:tblW w:type="auto" w:w="0"/>
        <w:jc w:val="center"/>
        <w:tblLayout w:type="autofit"/>
        <w:tblLook w:firstColumn="1" w:firstRow="1" w:lastColumn="0" w:lastRow="0" w:noHBand="0" w:noVBand="1" w:val="04A0"/>
      </w:tblPr>
      <w:tblGrid>
        <w:gridCol w:w="10512"/>
      </w:tblGrid>
      <w:tr>
        <w:tc>
          <w:tcPr>
            <w:tcW w:type="dxa" w:w="10512"/>
            <w:shd w:val="clear" w:color="auto" w:fill="1F3864"/>
          </w:tcPr>
          <w:p>
            <w:r/>
            <w:r>
              <w:rPr>
                <w:b/>
                <w:i w:val="0"/>
                <w:color w:val="FFFFFF"/>
                <w:sz w:val="22"/>
              </w:rPr>
              <w:t>SECTION 3  -  Certification and Signature</w:t>
            </w:r>
          </w:p>
        </w:tc>
      </w:tr>
    </w:tbl>
    <w:p>
      <w:pPr>
        <w:spacing w:after="40"/>
      </w:pPr>
    </w:p>
    <w:p>
      <w:pPr>
        <w:spacing w:after="120" w:before="0"/>
      </w:pPr>
      <w:r>
        <w:rPr>
          <w:b w:val="0"/>
          <w:i w:val="0"/>
          <w:sz w:val="18"/>
        </w:rPr>
        <w:t>By signing below, I certify the accuracy of the information provided. I acknowledge and accept that I have made a request for an EYLEA® replacement (injectable solution (intravitreal injection) based on aflibercept) on the sole basis described above, and that treatment with EYLEA® is still appropriate for the patient. I accept to receive an EYLEA® pre-filled syringe to replace the unadministered vial or pre-filled syringe.</w:t>
      </w:r>
    </w:p>
    <w:tbl>
      <w:tblPr>
        <w:tblStyle w:val="TableGrid"/>
        <w:tblW w:type="auto" w:w="0"/>
        <w:tblLook w:firstColumn="1" w:firstRow="1" w:lastColumn="0" w:lastRow="0" w:noHBand="0" w:noVBand="1" w:val="04A0"/>
      </w:tblPr>
      <w:tblGrid>
        <w:gridCol w:w="5256"/>
        <w:gridCol w:w="5256"/>
      </w:tblGrid>
      <w:tr>
        <w:tc>
          <w:tcPr>
            <w:tcW w:type="dxa" w:w="5256"/>
          </w:tcPr>
          <w:p>
            <w:r/>
            <w:r>
              <w:rPr>
                <w:b w:val="0"/>
                <w:i w:val="0"/>
                <w:sz w:val="18"/>
              </w:rPr>
              <w:t>Mandatory signature of the healthcare professional:</w:t>
              <w:br/>
              <w:br/>
              <w:t>[UNCLEAR: handwritten signature present]</w:t>
            </w:r>
          </w:p>
        </w:tc>
        <w:tc>
          <w:tcPr>
            <w:tcW w:type="dxa" w:w="5256"/>
          </w:tcPr>
          <w:p>
            <w:r/>
            <w:r>
              <w:rPr>
                <w:b w:val="0"/>
                <w:i w:val="0"/>
                <w:sz w:val="18"/>
              </w:rPr>
              <w:t>Date (DD/MM/YYYY): [UNCLEAR: handwritten date not legibly captured]</w:t>
            </w:r>
          </w:p>
        </w:tc>
      </w:tr>
    </w:tbl>
    <w:p>
      <w:pPr>
        <w:spacing w:after="120" w:before="80"/>
      </w:pPr>
      <w:r>
        <w:rPr>
          <w:b w:val="0"/>
          <w:i w:val="0"/>
          <w:sz w:val="16"/>
        </w:rPr>
        <w:t>Data protection notice: Your data are processed for the purpose of the EYLEA® replacement operation. Your data will be kept for the duration of the replacement operation and then (archived for 10 years and deleted). In accordance with the law, you have the right to access, rectify, restrict, and object to the processing of your data for a legitimate reason by sending your request to BAYER HEALTHCARE SAS, Data Protection Officer, Legal Department, 10 Place de Belgique, BP 103, 92254 La Garenne-Colombes cedex. If, after contacting Bayer, you believe that your rights are not being respected, you may file a complaint with the CNIL.</w:t>
      </w:r>
    </w:p>
    <w:tbl>
      <w:tblPr>
        <w:tblW w:type="auto" w:w="0"/>
        <w:jc w:val="center"/>
        <w:tblLayout w:type="autofit"/>
        <w:tblLook w:firstColumn="1" w:firstRow="1" w:lastColumn="0" w:lastRow="0" w:noHBand="0" w:noVBand="1" w:val="04A0"/>
      </w:tblPr>
      <w:tblGrid>
        <w:gridCol w:w="10512"/>
      </w:tblGrid>
      <w:tr>
        <w:tc>
          <w:tcPr>
            <w:tcW w:type="dxa" w:w="10512"/>
            <w:shd w:val="clear" w:color="auto" w:fill="1F3864"/>
          </w:tcPr>
          <w:p>
            <w:r/>
            <w:r>
              <w:rPr>
                <w:b/>
                <w:i w:val="0"/>
                <w:color w:val="FFFFFF"/>
                <w:sz w:val="22"/>
              </w:rPr>
              <w:t>SECTION – FOR INTERNAL USE  -  Processing</w:t>
            </w:r>
          </w:p>
        </w:tc>
      </w:tr>
    </w:tbl>
    <w:p>
      <w:pPr>
        <w:spacing w:after="40"/>
      </w:pPr>
    </w:p>
    <w:tbl>
      <w:tblPr>
        <w:tblStyle w:val="TableGrid"/>
        <w:tblW w:type="auto" w:w="0"/>
        <w:tblLook w:firstColumn="1" w:firstRow="1" w:lastColumn="0" w:lastRow="0" w:noHBand="0" w:noVBand="1" w:val="04A0"/>
      </w:tblPr>
      <w:tblGrid>
        <w:gridCol w:w="3312"/>
        <w:gridCol w:w="6192"/>
      </w:tblGrid>
      <w:tr>
        <w:tc>
          <w:tcPr>
            <w:tcW w:type="dxa" w:w="5256"/>
          </w:tcPr>
          <w:p>
            <w:r/>
            <w:r>
              <w:rPr>
                <w:b/>
                <w:i w:val="0"/>
                <w:sz w:val="18"/>
              </w:rPr>
              <w:t>Date of receipt</w:t>
            </w:r>
          </w:p>
        </w:tc>
        <w:tc>
          <w:tcPr>
            <w:tcW w:type="dxa" w:w="5256"/>
          </w:tcPr>
          <w:p>
            <w:r/>
            <w:r>
              <w:rPr>
                <w:b w:val="0"/>
                <w:i w:val="0"/>
                <w:sz w:val="18"/>
              </w:rPr>
              <w:t>[not completed]</w:t>
            </w:r>
          </w:p>
        </w:tc>
      </w:tr>
      <w:tr>
        <w:tc>
          <w:tcPr>
            <w:tcW w:type="dxa" w:w="5256"/>
          </w:tcPr>
          <w:p>
            <w:r/>
            <w:r>
              <w:rPr>
                <w:b/>
                <w:i w:val="0"/>
                <w:sz w:val="18"/>
              </w:rPr>
              <w:t>Service provider registration no.</w:t>
            </w:r>
          </w:p>
        </w:tc>
        <w:tc>
          <w:tcPr>
            <w:tcW w:type="dxa" w:w="5256"/>
          </w:tcPr>
          <w:p>
            <w:r/>
            <w:r>
              <w:rPr>
                <w:b w:val="0"/>
                <w:i w:val="0"/>
                <w:sz w:val="18"/>
              </w:rPr>
              <w:t>[not completed]</w:t>
            </w:r>
          </w:p>
        </w:tc>
      </w:tr>
      <w:tr>
        <w:tc>
          <w:tcPr>
            <w:tcW w:type="dxa" w:w="5256"/>
          </w:tcPr>
          <w:p>
            <w:r/>
            <w:r>
              <w:rPr>
                <w:b/>
                <w:i w:val="0"/>
                <w:sz w:val="18"/>
              </w:rPr>
              <w:t>Category / Code</w:t>
            </w:r>
          </w:p>
        </w:tc>
        <w:tc>
          <w:tcPr>
            <w:tcW w:type="dxa" w:w="5256"/>
          </w:tcPr>
          <w:p>
            <w:r/>
            <w:r>
              <w:rPr>
                <w:b w:val="0"/>
                <w:i w:val="0"/>
                <w:sz w:val="18"/>
              </w:rPr>
              <w:t>[not completed]</w:t>
            </w:r>
          </w:p>
        </w:tc>
      </w:tr>
      <w:tr>
        <w:tc>
          <w:tcPr>
            <w:tcW w:type="dxa" w:w="5256"/>
          </w:tcPr>
          <w:p>
            <w:r/>
            <w:r>
              <w:rPr>
                <w:b/>
                <w:i w:val="0"/>
                <w:sz w:val="18"/>
              </w:rPr>
              <w:t>Status</w:t>
            </w:r>
          </w:p>
        </w:tc>
        <w:tc>
          <w:tcPr>
            <w:tcW w:type="dxa" w:w="5256"/>
          </w:tcPr>
          <w:p>
            <w:r/>
            <w:r>
              <w:rPr>
                <w:b w:val="0"/>
                <w:i w:val="0"/>
                <w:sz w:val="18"/>
              </w:rPr>
              <w:t>☐ Rejected on (date)      ☐ Forwarded to PV on (date)      ☒ Approved / Forwarded to QA – 04/21/2026</w:t>
            </w:r>
          </w:p>
        </w:tc>
      </w:tr>
    </w:tbl>
    <w:p>
      <w:pPr>
        <w:spacing w:after="40" w:before="80"/>
      </w:pPr>
      <w:r>
        <w:rPr>
          <w:b/>
          <w:i w:val="0"/>
          <w:color w:val="1F3864"/>
          <w:sz w:val="18"/>
        </w:rPr>
        <w:t>HEALTHCARE PROFESSIONAL FOLLOW-UP – if the form is incomplete or if the sample is not returned</w:t>
      </w:r>
    </w:p>
    <w:tbl>
      <w:tblPr>
        <w:tblStyle w:val="TableGrid"/>
        <w:tblW w:type="auto" w:w="0"/>
        <w:tblLook w:firstColumn="1" w:firstRow="1" w:lastColumn="0" w:lastRow="0" w:noHBand="0" w:noVBand="1" w:val="04A0"/>
      </w:tblPr>
      <w:tblGrid>
        <w:gridCol w:w="4608"/>
        <w:gridCol w:w="4896"/>
      </w:tblGrid>
      <w:tr>
        <w:tc>
          <w:tcPr>
            <w:tcW w:type="dxa" w:w="5256"/>
          </w:tcPr>
          <w:p>
            <w:r/>
            <w:r>
              <w:rPr>
                <w:b/>
                <w:i w:val="0"/>
                <w:sz w:val="18"/>
              </w:rPr>
              <w:t>Follow-up date</w:t>
            </w:r>
          </w:p>
        </w:tc>
        <w:tc>
          <w:tcPr>
            <w:tcW w:type="dxa" w:w="5256"/>
          </w:tcPr>
          <w:p>
            <w:r/>
            <w:r>
              <w:rPr>
                <w:b w:val="0"/>
                <w:i w:val="0"/>
                <w:sz w:val="18"/>
              </w:rPr>
              <w:t>[not completed]</w:t>
            </w:r>
          </w:p>
        </w:tc>
      </w:tr>
      <w:tr>
        <w:tc>
          <w:tcPr>
            <w:tcW w:type="dxa" w:w="5256"/>
          </w:tcPr>
          <w:p>
            <w:r/>
            <w:r>
              <w:rPr>
                <w:b/>
                <w:i w:val="0"/>
                <w:sz w:val="18"/>
              </w:rPr>
              <w:t>Reason for follow-up 1</w:t>
            </w:r>
          </w:p>
        </w:tc>
        <w:tc>
          <w:tcPr>
            <w:tcW w:type="dxa" w:w="5256"/>
          </w:tcPr>
          <w:p>
            <w:r/>
            <w:r>
              <w:rPr>
                <w:b w:val="0"/>
                <w:i w:val="0"/>
                <w:sz w:val="18"/>
              </w:rPr>
              <w:t>[not completed]</w:t>
            </w:r>
          </w:p>
        </w:tc>
      </w:tr>
      <w:tr>
        <w:tc>
          <w:tcPr>
            <w:tcW w:type="dxa" w:w="5256"/>
          </w:tcPr>
          <w:p>
            <w:r/>
            <w:r>
              <w:rPr>
                <w:b/>
                <w:i w:val="0"/>
                <w:sz w:val="18"/>
              </w:rPr>
              <w:t>Follow-up date 2</w:t>
            </w:r>
          </w:p>
        </w:tc>
        <w:tc>
          <w:tcPr>
            <w:tcW w:type="dxa" w:w="5256"/>
          </w:tcPr>
          <w:p>
            <w:r/>
            <w:r>
              <w:rPr>
                <w:b w:val="0"/>
                <w:i w:val="0"/>
                <w:sz w:val="18"/>
              </w:rPr>
              <w:t>[not completed]</w:t>
            </w:r>
          </w:p>
        </w:tc>
      </w:tr>
      <w:tr>
        <w:tc>
          <w:tcPr>
            <w:tcW w:type="dxa" w:w="5256"/>
          </w:tcPr>
          <w:p>
            <w:r/>
            <w:r>
              <w:rPr>
                <w:b/>
                <w:i w:val="0"/>
                <w:sz w:val="18"/>
              </w:rPr>
              <w:t>Addition and/or modification requested by the healthcare professional / Date</w:t>
            </w:r>
          </w:p>
        </w:tc>
        <w:tc>
          <w:tcPr>
            <w:tcW w:type="dxa" w:w="5256"/>
          </w:tcPr>
          <w:p>
            <w:r/>
            <w:r>
              <w:rPr>
                <w:b w:val="0"/>
                <w:i w:val="0"/>
                <w:sz w:val="18"/>
              </w:rPr>
              <w:t>[not completed]</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