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36"/>
        </w:rPr>
        <w:t>Translation Quality Report</w:t>
      </w:r>
    </w:p>
    <w:p>
      <w:pPr>
        <w:spacing w:after="200"/>
      </w:pPr>
      <w:r>
        <w:rPr>
          <w:b w:val="0"/>
          <w:i/>
          <w:sz w:val="22"/>
        </w:rPr>
        <w:t>EYLEA® Replacement Program Form — French to American English</w:t>
      </w:r>
    </w:p>
    <w:p>
      <w:pPr>
        <w:spacing w:before="160" w:after="80"/>
      </w:pPr>
      <w:r>
        <w:rPr>
          <w:b/>
          <w:color w:val="1F3864"/>
          <w:sz w:val="28"/>
        </w:rPr>
        <w:t>1.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744"/>
        <w:gridCol w:w="576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Name of processed file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001.pdf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Name of generated file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translated_document.docx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Overall result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Completed with reservations — manual verification required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Generated output format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DOCX (Microsoft Word)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Number of pages processed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 (single-page form; rendered across multiple output pages for readability)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Number of fully processed pages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0 (see limitations — handwritten fields not reliably legible)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Number of problematic pages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Source language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French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Target language variant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sz w:val="18"/>
              </w:rPr>
              <w:t>American English</w:t>
            </w:r>
          </w:p>
        </w:tc>
      </w:tr>
    </w:tbl>
    <w:p>
      <w:pPr>
        <w:spacing w:before="160" w:after="80"/>
      </w:pPr>
      <w:r>
        <w:rPr>
          <w:b/>
          <w:color w:val="1F3864"/>
          <w:sz w:val="28"/>
        </w:rPr>
        <w:t>2. Confidence Index</w:t>
      </w:r>
    </w:p>
    <w:p>
      <w:pPr>
        <w:spacing w:after="80"/>
      </w:pPr>
      <w:r>
        <w:rPr>
          <w:b w:val="0"/>
          <w:i w:val="0"/>
          <w:sz w:val="20"/>
        </w:rPr>
        <w:t>Computed weighted value (before capping): 72 %</w:t>
      </w:r>
    </w:p>
    <w:p>
      <w:pPr>
        <w:spacing w:after="80"/>
      </w:pPr>
      <w:r>
        <w:rPr>
          <w:b/>
          <w:i w:val="0"/>
          <w:sz w:val="24"/>
        </w:rPr>
        <w:t>Final Confidence Index (after capping rules): 50 %</w:t>
      </w:r>
    </w:p>
    <w:p>
      <w:pPr>
        <w:spacing w:after="80"/>
      </w:pPr>
      <w:r>
        <w:rPr>
          <w:b w:val="0"/>
          <w:i w:val="0"/>
          <w:sz w:val="20"/>
        </w:rPr>
        <w:t>Quality level: 0–49 % — Insufficient reliability; renewed OCR, translation, or manual processing of the handwritten entries is required before any operational use.</w:t>
      </w:r>
    </w:p>
    <w:p>
      <w:pPr>
        <w:spacing w:after="80"/>
      </w:pPr>
      <w:r>
        <w:rPr>
          <w:b w:val="0"/>
          <w:i w:val="0"/>
          <w:sz w:val="18"/>
        </w:rPr>
        <w:t>Short justification: The printed, machine-readable portions of the form (fixed labels, legal/data-protection text, checkbox option lists) were translated with high confidence. However, this is a scanned, partly handwritten form: the lot number, event date, patient initials, patient date of birth, signature, follow-up dates, and parts of the practitioner's name could not be reliably read. Because numbers, dates, document/reference numbers, and handwritten table contents could not be reliably verified against the source, the capping rule limits the overall value to 50 %.</w:t>
      </w:r>
    </w:p>
    <w:p>
      <w:pPr>
        <w:spacing w:before="160" w:after="80"/>
      </w:pPr>
      <w:r>
        <w:rPr>
          <w:b/>
          <w:color w:val="1F3864"/>
          <w:sz w:val="26"/>
        </w:rPr>
        <w:t>3. Sub-scores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84"/>
        <w:gridCol w:w="2016"/>
        <w:gridCol w:w="1728"/>
      </w:tblGrid>
      <w:tr>
        <w:tc>
          <w:tcPr>
            <w:tcW w:type="dxa" w:w="28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28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Weight</w:t>
            </w:r>
          </w:p>
        </w:tc>
        <w:tc>
          <w:tcPr>
            <w:tcW w:type="dxa" w:w="2880"/>
            <w:shd w:val="clear" w:color="auto" w:fill="1F3864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A. Text capture and OCR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25 %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55 %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B. Completeness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20 %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72 %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C. Translation accuracy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25 %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78 %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D. Terminological consistency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10 %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85 %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E. Language quality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10 %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90 %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F. Layout and structural fidelity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10 %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sz w:val="18"/>
              </w:rPr>
              <w:t>72 %</w:t>
            </w:r>
          </w:p>
        </w:tc>
      </w:tr>
    </w:tbl>
    <w:p>
      <w:pPr>
        <w:spacing w:before="160" w:after="80"/>
      </w:pPr>
      <w:r>
        <w:rPr>
          <w:b/>
          <w:color w:val="1F3864"/>
          <w:sz w:val="28"/>
        </w:rPr>
        <w:t>4. Identified Risks</w:t>
      </w:r>
    </w:p>
    <w:p>
      <w:pPr>
        <w:pStyle w:val="ListBullet"/>
        <w:spacing w:after="40"/>
      </w:pPr>
      <w:r>
        <w:rPr>
          <w:sz w:val="18"/>
        </w:rPr>
        <w:t>Illegible areas: handwritten lot number, event date, patient initials, patient date of birth, signature date, and follow-up dates could not be read reliably.</w:t>
      </w:r>
    </w:p>
    <w:p>
      <w:pPr>
        <w:pStyle w:val="ListBullet"/>
        <w:spacing w:after="40"/>
      </w:pPr>
      <w:r>
        <w:rPr>
          <w:sz w:val="18"/>
        </w:rPr>
        <w:t>Uncertain OCR recognition: the practitioner's surname (reads as “ASSAD” / “MEILLON”), the postal code (“2T000” vs 21000), and the RPPS number digits require verification against the source.</w:t>
      </w:r>
    </w:p>
    <w:p>
      <w:pPr>
        <w:pStyle w:val="ListBullet"/>
        <w:spacing w:after="40"/>
      </w:pPr>
      <w:r>
        <w:rPr>
          <w:sz w:val="18"/>
        </w:rPr>
        <w:t>Ambiguous technical terms / abbreviations: “SSA”, “SPR/PFS” (pre-filled syringe), “AQ” (Quality Assurance), “PV” (Pharmacovigilance) were kept and expanded tentatively where the meaning was clear from context.</w:t>
      </w:r>
    </w:p>
    <w:p>
      <w:pPr>
        <w:pStyle w:val="ListBullet"/>
        <w:spacing w:after="40"/>
      </w:pPr>
      <w:r>
        <w:rPr>
          <w:sz w:val="18"/>
        </w:rPr>
        <w:t>Difficult tables: Section 2 checkbox list items (a)–(s) and the internal-use/stamp processing block overlap with stamps and handwriting; checkbox states were inferred from the scan and should be verified.</w:t>
      </w:r>
    </w:p>
    <w:p>
      <w:pPr>
        <w:pStyle w:val="ListBullet"/>
        <w:spacing w:after="40"/>
      </w:pPr>
      <w:r>
        <w:rPr>
          <w:sz w:val="18"/>
        </w:rPr>
        <w:t>Non-replaceable text in images: EYLEA / Bayer / Universal Medica logos and stamp graphics could not be reproduced and are marked [IMAGE] / [STAMP].</w:t>
      </w:r>
    </w:p>
    <w:p>
      <w:pPr>
        <w:pStyle w:val="ListBullet"/>
        <w:spacing w:after="40"/>
      </w:pPr>
      <w:r>
        <w:rPr>
          <w:sz w:val="18"/>
        </w:rPr>
        <w:t>Layout deviations: the single-page dense form was re-flowed across several output pages to preserve readability; exact visual positioning was not reproduced.</w:t>
      </w:r>
    </w:p>
    <w:p>
      <w:pPr>
        <w:spacing w:before="160" w:after="80"/>
      </w:pPr>
      <w:r>
        <w:rPr>
          <w:b/>
          <w:color w:val="1F3864"/>
          <w:sz w:val="28"/>
        </w:rPr>
        <w:t>5. Items to Verify Manually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84"/>
        <w:gridCol w:w="2016"/>
        <w:gridCol w:w="1872"/>
        <w:gridCol w:w="1728"/>
        <w:gridCol w:w="2304"/>
      </w:tblGrid>
      <w:tr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Page / Section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Source text (as legible)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English translation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Type of uncertainty</w:t>
            </w:r>
          </w:p>
        </w:tc>
        <w:tc>
          <w:tcPr>
            <w:tcW w:type="dxa" w:w="1728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Recommended check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Sec. 1 – Lot no.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handwritten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[UNCLEAR]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Illegible handwriting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Re-read lot number on original box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Sec. 1 – Event date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handwritten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[UNCLEAR]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Illegible handwriting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Verify date on source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Sec. 1 – Practitioner name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Docteur G. ASSAD/MEILLON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Doctor G. [UNCLEAR]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Uncertain OCR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Confirm surname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Sec. 1 – RPPS no.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RPPS 10100959542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RPPS 10100959542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Uncertain OCR digits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Confirm all digits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Sec. 1 – Postal code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2T000 / 21000 DIJON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21000 DIJON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OCR 1/T confusion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Confirm postal code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Sec. 1 – Patient initials / DOB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handwritten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[UNCLEAR]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Illegible handwriting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Verify on source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Sec. 2 – Complaint description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“Sa / Lea” (handwritten)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[UNCLEAR]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Illegible handwriting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Re-read description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Sec. 2/Internal – stamp block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dates 21/04/2026; CRS-20260421-97-1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04/21/2026; CRS-20260421-97-1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Stamp/handwriting overlap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Confirm dates &amp; reference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Sec. 3 – Signature / date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handwritten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[UNCLEAR]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Handwriting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sz w:val="16"/>
              </w:rPr>
              <w:t>Confirm signature date</w:t>
            </w:r>
          </w:p>
        </w:tc>
      </w:tr>
    </w:tbl>
    <w:p>
      <w:pPr>
        <w:spacing w:after="80"/>
      </w:pPr>
      <w:r>
        <w:rPr>
          <w:b w:val="0"/>
          <w:i/>
          <w:sz w:val="18"/>
        </w:rPr>
        <w:t>Date format note: French dates (DD/MM/YYYY) such as 21/04/2026 were rendered in American format (MM/DD/YYYY) as 04/21/2026 in running text, while the form's own “Date (DD/MM/YYYY)” field label was preserved to avoid regulatory ambiguity.</w:t>
      </w:r>
    </w:p>
    <w:p>
      <w:pPr>
        <w:spacing w:before="160" w:after="80"/>
      </w:pPr>
      <w:r>
        <w:rPr>
          <w:b/>
          <w:color w:val="1F3864"/>
          <w:sz w:val="28"/>
        </w:rPr>
        <w:t>6. Intentionally Untranslated Content</w:t>
      </w:r>
    </w:p>
    <w:p>
      <w:pPr>
        <w:pStyle w:val="ListBullet"/>
        <w:spacing w:after="40"/>
      </w:pPr>
      <w:r>
        <w:rPr>
          <w:sz w:val="18"/>
        </w:rPr>
        <w:t>Proper names, product name (EYLEA®), company names (Bayer HealthCare, Universal Medica), addresses, email, fax, and phone numbers — kept unchanged as identifiers.</w:t>
      </w:r>
    </w:p>
    <w:p>
      <w:pPr>
        <w:pStyle w:val="ListBullet"/>
        <w:spacing w:after="40"/>
      </w:pPr>
      <w:r>
        <w:rPr>
          <w:sz w:val="18"/>
        </w:rPr>
        <w:t>Document/reference identifiers (e.g., CRS-20260421-97-1) and the RPPS number — kept unchanged.</w:t>
      </w:r>
    </w:p>
    <w:p>
      <w:pPr>
        <w:pStyle w:val="ListBullet"/>
        <w:spacing w:after="40"/>
      </w:pPr>
      <w:r>
        <w:rPr>
          <w:sz w:val="18"/>
        </w:rPr>
        <w:t>The URL https://safetrack-public.bayer.com/ — kept unchanged.</w:t>
      </w:r>
    </w:p>
    <w:p>
      <w:pPr>
        <w:pStyle w:val="ListBullet"/>
        <w:spacing w:after="40"/>
      </w:pPr>
      <w:r>
        <w:rPr>
          <w:sz w:val="18"/>
        </w:rPr>
        <w:t>French proper-noun address elements (Parc Valmy, 9 rue Jeanne Barret, Saint-Cloud, La Garenne-Colombes, CNIL) — kept unchanged as names.</w:t>
      </w:r>
    </w:p>
    <w:p>
      <w:pPr>
        <w:spacing w:before="160" w:after="80"/>
      </w:pPr>
      <w:r>
        <w:rPr>
          <w:b/>
          <w:color w:val="1F3864"/>
          <w:sz w:val="28"/>
        </w:rPr>
        <w:t>7. Limitations</w:t>
      </w:r>
    </w:p>
    <w:p>
      <w:pPr>
        <w:pStyle w:val="ListBullet"/>
        <w:spacing w:after="40"/>
      </w:pPr>
      <w:r>
        <w:rPr>
          <w:sz w:val="18"/>
        </w:rPr>
        <w:t>The source is a scanned, partly handwritten and stamped form; no reliable automatic OCR of handwriting could be performed, so handwritten field values are marked [UNCLEAR]/[ILLEGIBLE].</w:t>
      </w:r>
    </w:p>
    <w:p>
      <w:pPr>
        <w:pStyle w:val="ListBullet"/>
        <w:spacing w:after="40"/>
      </w:pPr>
      <w:r>
        <w:rPr>
          <w:sz w:val="18"/>
        </w:rPr>
        <w:t>Exact pixel-level layout, fonts, embedded logos, and stamp graphics could not be reproduced.</w:t>
      </w:r>
    </w:p>
    <w:p>
      <w:pPr>
        <w:pStyle w:val="ListBullet"/>
        <w:spacing w:after="40"/>
      </w:pPr>
      <w:r>
        <w:rPr>
          <w:sz w:val="18"/>
        </w:rPr>
        <w:t>Checkbox states were inferred from the scanned rendering and may not all be correct.</w:t>
      </w:r>
    </w:p>
    <w:p>
      <w:pPr>
        <w:pStyle w:val="ListBullet"/>
        <w:spacing w:after="40"/>
      </w:pPr>
      <w:r>
        <w:rPr>
          <w:sz w:val="18"/>
        </w:rPr>
        <w:t>A full back-comparison of every numeric/handwritten value against the source was not possible; the confidence index was capped accordingly.</w:t>
      </w:r>
    </w:p>
    <w:p>
      <w:pPr>
        <w:pStyle w:val="ListBullet"/>
        <w:spacing w:after="40"/>
      </w:pPr>
      <w:r>
        <w:rPr>
          <w:sz w:val="18"/>
        </w:rPr>
        <w:t>This report is a reasoned quality estimate, not proof of correctness. For this regulated pharmacovigilance/medical document, review by a qualified person is required before use.</w:t>
      </w:r>
    </w:p>
    <w:p>
      <w:pPr>
        <w:spacing w:before="160" w:after="80"/>
      </w:pPr>
      <w:r>
        <w:rPr>
          <w:b/>
          <w:color w:val="1F3864"/>
          <w:sz w:val="28"/>
        </w:rPr>
        <w:t>8. Per-Page Quality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2736"/>
        <w:gridCol w:w="1296"/>
        <w:gridCol w:w="1296"/>
        <w:gridCol w:w="1296"/>
        <w:gridCol w:w="2160"/>
      </w:tblGrid>
      <w:tr>
        <w:tc>
          <w:tcPr>
            <w:tcW w:type="dxa" w:w="1440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Page</w:t>
            </w:r>
          </w:p>
        </w:tc>
        <w:tc>
          <w:tcPr>
            <w:tcW w:type="dxa" w:w="1440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Page type</w:t>
            </w:r>
          </w:p>
        </w:tc>
        <w:tc>
          <w:tcPr>
            <w:tcW w:type="dxa" w:w="1440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OCR conf.</w:t>
            </w:r>
          </w:p>
        </w:tc>
        <w:tc>
          <w:tcPr>
            <w:tcW w:type="dxa" w:w="1440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Transl. conf.</w:t>
            </w:r>
          </w:p>
        </w:tc>
        <w:tc>
          <w:tcPr>
            <w:tcW w:type="dxa" w:w="1440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Layout conf.</w:t>
            </w:r>
          </w:p>
        </w:tc>
        <w:tc>
          <w:tcPr>
            <w:tcW w:type="dxa" w:w="1440"/>
            <w:shd w:val="clear" w:color="auto" w:fill="1F3864"/>
          </w:tcPr>
          <w:p>
            <w:r/>
            <w:r>
              <w:rPr>
                <w:b/>
                <w:color w:val="FFFFFF"/>
                <w:sz w:val="16"/>
              </w:rPr>
              <w:t>Identified problems</w:t>
            </w:r>
          </w:p>
        </w:tc>
      </w:tr>
      <w:tr>
        <w:tc>
          <w:tcPr>
            <w:tcW w:type="dxa" w:w="1440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6"/>
              </w:rPr>
              <w:t>Mixed (printed + handwritten + stamps)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6"/>
              </w:rPr>
              <w:t>55 %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6"/>
              </w:rPr>
              <w:t>78 %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6"/>
              </w:rPr>
              <w:t>72 %</w:t>
            </w:r>
          </w:p>
        </w:tc>
        <w:tc>
          <w:tcPr>
            <w:tcW w:type="dxa" w:w="1440"/>
          </w:tcPr>
          <w:p>
            <w:r/>
            <w:r>
              <w:rPr>
                <w:b w:val="0"/>
                <w:sz w:val="16"/>
              </w:rPr>
              <w:t>Handwritten fields illegible; stamp/handwriting overlap; logos not reproduced. Manual verification recommended.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