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Arial" w:hAnsi="Arial"/>
          <w:b/>
          <w:color w:val="666666"/>
          <w:sz w:val="20"/>
        </w:rPr>
        <w:t>AI-Generated Translation Disclaimer</w:t>
      </w:r>
    </w:p>
    <w:p>
      <w:pPr>
        <w:spacing w:after="40" w:before="0" w:line="240" w:lineRule="auto"/>
      </w:pPr>
      <w:r>
        <w:rPr>
          <w:rFonts w:ascii="Arial" w:hAnsi="Arial"/>
          <w:b w:val="0"/>
          <w:color w:val="666666"/>
          <w:sz w:val="20"/>
        </w:rPr>
        <w:t>This document has been translated into English using a fully automated Artificial Intelligence (AI)-based translation process.</w:t>
      </w:r>
    </w:p>
    <w:p>
      <w:pPr>
        <w:spacing w:after="40" w:before="0" w:line="240" w:lineRule="auto"/>
      </w:pPr>
      <w:r>
        <w:rPr>
          <w:rFonts w:ascii="Arial" w:hAnsi="Arial"/>
          <w:b w:val="0"/>
          <w:color w:val="666666"/>
          <w:sz w:val="20"/>
        </w:rP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r>
    </w:p>
    <w:p>
      <w:pPr>
        <w:spacing w:after="40" w:before="0" w:line="240" w:lineRule="auto"/>
      </w:pPr>
      <w:r>
        <w:rPr>
          <w:rFonts w:ascii="Arial" w:hAnsi="Arial"/>
          <w:b w:val="0"/>
          <w:color w:val="666666"/>
          <w:sz w:val="20"/>
        </w:rP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r>
    </w:p>
    <w:p>
      <w:pPr>
        <w:spacing w:after="40" w:before="0" w:line="240" w:lineRule="auto"/>
      </w:pPr>
      <w:r>
        <w:rPr>
          <w:rFonts w:ascii="Arial" w:hAnsi="Arial"/>
          <w:b w:val="0"/>
          <w:color w:val="666666"/>
          <w:sz w:val="20"/>
        </w:rP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r>
    </w:p>
    <w:p>
      <w:pPr>
        <w:spacing w:after="40" w:before="0" w:line="240" w:lineRule="auto"/>
      </w:pPr>
      <w:r>
        <w:rPr>
          <w:rFonts w:ascii="Arial" w:hAnsi="Arial"/>
          <w:b w:val="0"/>
          <w:color w:val="666666"/>
          <w:sz w:val="20"/>
        </w:rPr>
        <w:t>AI Model: ChatGPT (OpenAI); version not exposed</w:t>
        <w:br/>
        <w:t>Prompt File: prompt.en.0.6.md</w:t>
        <w:br/>
        <w:t>Prompt File Version: 0.6</w:t>
      </w:r>
    </w:p>
    <w:p>
      <w:pPr>
        <w:spacing w:after="40" w:before="0" w:line="240" w:lineRule="auto"/>
      </w:pPr>
      <w:r>
        <w:rPr>
          <w:rFonts w:ascii="Arial" w:hAnsi="Arial"/>
          <w:b/>
          <w:color w:val="666666"/>
          <w:sz w:val="20"/>
        </w:rPr>
        <w:t>Legend</w:t>
      </w:r>
    </w:p>
    <w:p>
      <w:pPr>
        <w:spacing w:after="40" w:before="0" w:line="240" w:lineRule="auto"/>
      </w:pPr>
      <w:r>
        <w:rPr>
          <w:rFonts w:ascii="Arial" w:hAnsi="Arial"/>
          <w:b w:val="0"/>
          <w:color w:val="666666"/>
          <w:sz w:val="20"/>
        </w:rPr>
        <w:t>Text displayed in blue was transcribed from handwritten source content, including signatures. Printed, machine-readable and stamped content is shown in its original color.</w:t>
      </w:r>
    </w:p>
    <w:p>
      <w:pPr>
        <w:spacing w:after="40" w:before="0" w:line="240" w:lineRule="auto"/>
      </w:pPr>
      <w:r>
        <w:rPr>
          <w:rFonts w:ascii="Arial" w:hAnsi="Arial"/>
          <w:b w:val="0"/>
          <w:color w:val="666666"/>
          <w:sz w:val="20"/>
        </w:rPr>
        <w:t xml:space="preserve">Word comments provide, for each handwritten passage, the source text and the recognition confidence. Where recognition was uncertain or impossible, the comment is marked [UNCLEAR] or </w:t>
      </w:r>
      <w:r>
        <w:rPr>
          <w:rFonts w:ascii="Arial" w:hAnsi="Arial"/>
          <w:b w:val="0"/>
          <w:color w:val="666666"/>
          <w:sz w:val="20"/>
        </w:rPr>
        <w:t>[ILLEGIBLE]</w:t>
      </w:r>
      <w:r>
        <w:rPr>
          <w:rFonts w:ascii="Arial" w:hAnsi="Arial"/>
          <w:b w:val="0"/>
          <w:color w:val="666666"/>
          <w:sz w:val="20"/>
        </w:rPr>
        <w:t xml:space="preserve"> and additionally states the nature of the problem and the recommended verification.</w:t>
      </w:r>
    </w:p>
    <w:p>
      <w:pPr>
        <w:spacing w:after="40" w:before="0" w:line="240" w:lineRule="auto"/>
      </w:pPr>
      <w:r>
        <w:rPr>
          <w:rFonts w:ascii="Arial" w:hAnsi="Arial"/>
          <w:b w:val="0"/>
          <w:color w:val="666666"/>
          <w:sz w:val="20"/>
        </w:rPr>
        <w:t xml:space="preserve">Passages marked </w:t>
      </w:r>
      <w:r>
        <w:rPr>
          <w:rFonts w:ascii="Arial" w:hAnsi="Arial"/>
          <w:b w:val="0"/>
          <w:color w:val="666666"/>
          <w:sz w:val="20"/>
        </w:rPr>
        <w:t>[ILLEGIBLE]</w:t>
      </w:r>
      <w:r>
        <w:rPr>
          <w:rFonts w:ascii="Arial" w:hAnsi="Arial"/>
          <w:b w:val="0"/>
          <w:color w:val="666666"/>
          <w:sz w:val="20"/>
        </w:rPr>
        <w:t xml:space="preserve"> could not be read at all. All commented passages are also listed in the accompanying quality report.</w:t>
      </w:r>
    </w:p>
    <w:p>
      <w:pPr>
        <w:spacing w:after="40" w:before="0" w:line="240" w:lineRule="auto"/>
      </w:pPr>
      <w:r>
        <w:rPr>
          <w:rFonts w:ascii="Arial" w:hAnsi="Arial"/>
          <w:b w:val="0"/>
          <w:color w:val="666666"/>
          <w:sz w:val="20"/>
        </w:rPr>
        <w:t>Translator's note: Source document 001.pdf is in French. Target: American English. This is a reconstructed, translated rendering of the source document, which is a scanned and partly handwritten form.</w:t>
      </w:r>
    </w:p>
    <w:p>
      <w:pPr>
        <w:spacing w:after="40" w:before="0" w:line="240" w:lineRule="auto"/>
      </w:pPr>
      <w:r>
        <w:rPr>
          <w:rFonts w:ascii="Arial" w:hAnsi="Arial"/>
          <w:b w:val="0"/>
          <w:color w:val="666666"/>
          <w:sz w:val="20"/>
        </w:rPr>
        <w:t>Review notes: dates retain DD/MM/YYYY and concentrations retain the decimal comma. Both 114,3 mg/mL presentation checks are preserved. Verify the lot character 0/O, the obscured delivery label, I(m), the signature, the cold-chain discrepancy, and the phrase spanning follow-up reasons 1 and 2. PSP, SPR, PV and AQ are retained without unsupported expansion. The quality report is scheduled for E5 and is not generated in this E3-only run.</w:t>
      </w:r>
    </w:p>
    <w:p>
      <w:pPr>
        <w:spacing w:after="40" w:before="0" w:line="240" w:lineRule="auto"/>
      </w:pPr>
      <w:r>
        <w:rPr>
          <w:rFonts w:ascii="Arial" w:hAnsi="Arial"/>
          <w:b w:val="0"/>
          <w:color w:val="666666"/>
          <w:sz w:val="20"/>
        </w:rPr>
        <w:t>Privacy limitation: deletion of platform uploads, downloads and tool caches, or a 15-minute retention limit, cannot be guaranteed or enforced in this session. Source and state are retained for the requested staged continuation; no deletion is claimed.</w:t>
      </w:r>
    </w:p>
    <w:p>
      <w:pPr>
        <w:spacing w:after="40" w:before="0" w:line="240" w:lineRule="auto"/>
      </w:pPr>
      <w:r>
        <w:rPr>
          <w:rFonts w:ascii="Arial" w:hAnsi="Arial"/>
          <w:b/>
          <w:color w:val="666666"/>
          <w:sz w:val="22"/>
        </w:rPr>
        <w:t>Trustworthiness</w:t>
      </w:r>
    </w:p>
    <w:p>
      <w:pPr>
        <w:spacing w:after="40" w:before="0" w:line="240" w:lineRule="auto"/>
      </w:pPr>
      <w:r>
        <w:rPr>
          <w:rFonts w:ascii="Arial" w:hAnsi="Arial"/>
          <w:b w:val="0"/>
          <w:color w:val="666666"/>
          <w:sz w:val="20"/>
        </w:rPr>
        <w:t>The following table indicates the estimated reliability of the translated content for each page of this document.</w:t>
      </w:r>
      <w:r>
        <w:rPr>
          <w:color w:val="666666"/>
        </w:rPr>
        <w:footnoteReference w:id="1"/>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1440"/>
        <w:gridCol w:w="1300"/>
        <w:gridCol w:w="5600"/>
        <w:gridCol w:w="2300"/>
      </w:tblGrid>
      <w:tr>
        <w:trPr>
          <w:cantSplit/>
        </w:trPr>
        <w:tc>
          <w:tcPr>
            <w:tcW w:type="dxa" w:w="1440"/>
          </w:tcPr>
          <w:p>
            <w:pPr>
              <w:spacing w:after="0" w:before="0" w:line="240" w:lineRule="auto"/>
            </w:pPr>
            <w:r>
              <w:rPr>
                <w:rFonts w:ascii="Arial" w:hAnsi="Arial"/>
                <w:b/>
                <w:color w:val="666666"/>
                <w:sz w:val="18"/>
              </w:rPr>
              <w:t>Page</w:t>
            </w:r>
          </w:p>
        </w:tc>
        <w:tc>
          <w:tcPr>
            <w:tcW w:type="dxa" w:w="1300"/>
          </w:tcPr>
          <w:p>
            <w:pPr>
              <w:spacing w:after="0" w:before="0" w:line="240" w:lineRule="auto"/>
            </w:pPr>
            <w:r>
              <w:rPr>
                <w:rFonts w:ascii="Arial" w:hAnsi="Arial"/>
                <w:b/>
                <w:color w:val="666666"/>
                <w:sz w:val="18"/>
              </w:rPr>
              <w:t>Confidence</w:t>
            </w:r>
          </w:p>
        </w:tc>
        <w:tc>
          <w:tcPr>
            <w:tcW w:type="dxa" w:w="5600"/>
          </w:tcPr>
          <w:p>
            <w:pPr>
              <w:spacing w:after="0" w:before="0" w:line="240" w:lineRule="auto"/>
            </w:pPr>
            <w:r>
              <w:rPr>
                <w:rFonts w:ascii="Arial" w:hAnsi="Arial"/>
                <w:b/>
                <w:color w:val="666666"/>
                <w:sz w:val="18"/>
              </w:rPr>
              <w:t>Quality level</w:t>
            </w:r>
          </w:p>
        </w:tc>
        <w:tc>
          <w:tcPr>
            <w:tcW w:type="dxa" w:w="2300"/>
          </w:tcPr>
          <w:p>
            <w:pPr>
              <w:spacing w:after="0" w:before="0" w:line="240" w:lineRule="auto"/>
            </w:pPr>
            <w:r>
              <w:rPr>
                <w:rFonts w:ascii="Arial" w:hAnsi="Arial"/>
                <w:b/>
                <w:color w:val="666666"/>
                <w:sz w:val="18"/>
              </w:rPr>
              <w:t>Manual review</w:t>
            </w:r>
          </w:p>
        </w:tc>
      </w:tr>
      <w:tr>
        <w:trPr>
          <w:cantSplit/>
        </w:trPr>
        <w:tc>
          <w:tcPr>
            <w:tcW w:type="dxa" w:w="1440"/>
          </w:tcPr>
          <w:p>
            <w:pPr>
              <w:spacing w:after="0" w:before="0" w:line="240" w:lineRule="auto"/>
            </w:pPr>
            <w:r>
              <w:rPr>
                <w:rFonts w:ascii="Arial" w:hAnsi="Arial"/>
                <w:b w:val="0"/>
                <w:color w:val="666666"/>
                <w:sz w:val="18"/>
              </w:rPr>
              <w:t>1</w:t>
            </w:r>
          </w:p>
        </w:tc>
        <w:tc>
          <w:tcPr>
            <w:tcW w:type="dxa" w:w="1300"/>
          </w:tcPr>
          <w:p>
            <w:pPr>
              <w:spacing w:after="0" w:before="0" w:line="240" w:lineRule="auto"/>
            </w:pPr>
            <w:r>
              <w:rPr>
                <w:rFonts w:ascii="Arial" w:hAnsi="Arial"/>
                <w:b w:val="0"/>
                <w:color w:val="666666"/>
                <w:sz w:val="18"/>
              </w:rPr>
              <w:t>89%</w:t>
            </w:r>
          </w:p>
        </w:tc>
        <w:tc>
          <w:tcPr>
            <w:tcW w:type="dxa" w:w="5600"/>
          </w:tcPr>
          <w:p>
            <w:pPr>
              <w:spacing w:after="0" w:before="0" w:line="240" w:lineRule="auto"/>
            </w:pPr>
            <w:r>
              <w:rPr>
                <w:rFonts w:ascii="Arial" w:hAnsi="Arial"/>
                <w:b w:val="0"/>
                <w:color w:val="666666"/>
                <w:sz w:val="18"/>
              </w:rPr>
              <w:t>good expected quality, individual locations requiring review</w:t>
            </w:r>
          </w:p>
        </w:tc>
        <w:tc>
          <w:tcPr>
            <w:tcW w:type="dxa" w:w="2300"/>
          </w:tcPr>
          <w:p>
            <w:pPr>
              <w:spacing w:after="0" w:before="0" w:line="240" w:lineRule="auto"/>
            </w:pPr>
            <w:r>
              <w:rPr>
                <w:rFonts w:ascii="Arial" w:hAnsi="Arial"/>
                <w:b w:val="0"/>
                <w:color w:val="666666"/>
                <w:sz w:val="18"/>
              </w:rPr>
              <w:t>recommended</w:t>
            </w:r>
          </w:p>
        </w:tc>
      </w:tr>
      <w:tr>
        <w:trPr>
          <w:cantSplit/>
        </w:trPr>
        <w:tc>
          <w:tcPr>
            <w:tcW w:type="dxa" w:w="1440"/>
          </w:tcPr>
          <w:p>
            <w:pPr>
              <w:spacing w:after="0" w:before="0" w:line="240" w:lineRule="auto"/>
            </w:pPr>
            <w:r>
              <w:rPr>
                <w:rFonts w:ascii="Arial" w:hAnsi="Arial"/>
                <w:b w:val="0"/>
                <w:color w:val="666666"/>
                <w:sz w:val="18"/>
              </w:rPr>
              <w:t>2</w:t>
            </w:r>
          </w:p>
        </w:tc>
        <w:tc>
          <w:tcPr>
            <w:tcW w:type="dxa" w:w="1300"/>
          </w:tcPr>
          <w:p>
            <w:pPr>
              <w:spacing w:after="0" w:before="0" w:line="240" w:lineRule="auto"/>
            </w:pPr>
            <w:r>
              <w:rPr>
                <w:rFonts w:ascii="Arial" w:hAnsi="Arial"/>
                <w:b w:val="0"/>
                <w:color w:val="666666"/>
                <w:sz w:val="18"/>
              </w:rPr>
              <w:t>92%</w:t>
            </w:r>
          </w:p>
        </w:tc>
        <w:tc>
          <w:tcPr>
            <w:tcW w:type="dxa" w:w="5600"/>
          </w:tcPr>
          <w:p>
            <w:pPr>
              <w:spacing w:after="0" w:before="0" w:line="240" w:lineRule="auto"/>
            </w:pPr>
            <w:r>
              <w:rPr>
                <w:rFonts w:ascii="Arial" w:hAnsi="Arial"/>
                <w:b w:val="0"/>
                <w:color w:val="666666"/>
                <w:sz w:val="18"/>
              </w:rPr>
              <w:t>high expected quality, only minor uncertainties</w:t>
            </w:r>
          </w:p>
        </w:tc>
        <w:tc>
          <w:tcPr>
            <w:tcW w:type="dxa" w:w="2300"/>
          </w:tcPr>
          <w:p>
            <w:pPr>
              <w:spacing w:after="0" w:before="0" w:line="240" w:lineRule="auto"/>
            </w:pPr>
            <w:r>
              <w:rPr>
                <w:rFonts w:ascii="Arial" w:hAnsi="Arial"/>
                <w:b w:val="0"/>
                <w:color w:val="666666"/>
                <w:sz w:val="18"/>
              </w:rPr>
              <w:t>recommended</w:t>
            </w:r>
          </w:p>
        </w:tc>
      </w:tr>
      <w:tr>
        <w:trPr>
          <w:cantSplit/>
        </w:trPr>
        <w:tc>
          <w:tcPr>
            <w:tcW w:type="dxa" w:w="1440"/>
          </w:tcPr>
          <w:p>
            <w:pPr>
              <w:spacing w:after="0" w:before="0" w:line="240" w:lineRule="auto"/>
            </w:pPr>
            <w:r>
              <w:rPr>
                <w:rFonts w:ascii="Arial" w:hAnsi="Arial"/>
                <w:b w:val="0"/>
                <w:color w:val="666666"/>
                <w:sz w:val="18"/>
              </w:rPr>
              <w:t>3</w:t>
            </w:r>
          </w:p>
        </w:tc>
        <w:tc>
          <w:tcPr>
            <w:tcW w:type="dxa" w:w="1300"/>
          </w:tcPr>
          <w:p>
            <w:pPr>
              <w:spacing w:after="0" w:before="0" w:line="240" w:lineRule="auto"/>
            </w:pPr>
            <w:r>
              <w:rPr>
                <w:rFonts w:ascii="Arial" w:hAnsi="Arial"/>
                <w:b w:val="0"/>
                <w:color w:val="666666"/>
                <w:sz w:val="18"/>
              </w:rPr>
              <w:t>92%</w:t>
            </w:r>
          </w:p>
        </w:tc>
        <w:tc>
          <w:tcPr>
            <w:tcW w:type="dxa" w:w="5600"/>
          </w:tcPr>
          <w:p>
            <w:pPr>
              <w:spacing w:after="0" w:before="0" w:line="240" w:lineRule="auto"/>
            </w:pPr>
            <w:r>
              <w:rPr>
                <w:rFonts w:ascii="Arial" w:hAnsi="Arial"/>
                <w:b w:val="0"/>
                <w:color w:val="666666"/>
                <w:sz w:val="18"/>
              </w:rPr>
              <w:t>high expected quality, only minor uncertainties</w:t>
            </w:r>
          </w:p>
        </w:tc>
        <w:tc>
          <w:tcPr>
            <w:tcW w:type="dxa" w:w="2300"/>
          </w:tcPr>
          <w:p>
            <w:pPr>
              <w:spacing w:after="0" w:before="0" w:line="240" w:lineRule="auto"/>
            </w:pPr>
            <w:r>
              <w:rPr>
                <w:rFonts w:ascii="Arial" w:hAnsi="Arial"/>
                <w:b w:val="0"/>
                <w:color w:val="666666"/>
                <w:sz w:val="18"/>
              </w:rPr>
              <w:t>recommended</w:t>
            </w:r>
          </w:p>
        </w:tc>
      </w:tr>
      <w:tr>
        <w:trPr>
          <w:cantSplit/>
        </w:trPr>
        <w:tc>
          <w:tcPr>
            <w:tcW w:type="dxa" w:w="1440"/>
          </w:tcPr>
          <w:p>
            <w:pPr>
              <w:spacing w:after="0" w:before="0" w:line="240" w:lineRule="auto"/>
            </w:pPr>
            <w:r>
              <w:rPr>
                <w:rFonts w:ascii="Arial" w:hAnsi="Arial"/>
                <w:b/>
                <w:color w:val="666666"/>
                <w:sz w:val="18"/>
              </w:rPr>
              <w:t>Total (document)</w:t>
            </w:r>
          </w:p>
        </w:tc>
        <w:tc>
          <w:tcPr>
            <w:tcW w:type="dxa" w:w="1300"/>
          </w:tcPr>
          <w:p>
            <w:pPr>
              <w:spacing w:after="0" w:before="0" w:line="240" w:lineRule="auto"/>
            </w:pPr>
            <w:r>
              <w:rPr>
                <w:rFonts w:ascii="Arial" w:hAnsi="Arial"/>
                <w:b/>
                <w:color w:val="666666"/>
                <w:sz w:val="18"/>
              </w:rPr>
              <w:t>50%</w:t>
            </w:r>
          </w:p>
        </w:tc>
        <w:tc>
          <w:tcPr>
            <w:tcW w:type="dxa" w:w="5600"/>
          </w:tcPr>
          <w:p>
            <w:pPr>
              <w:spacing w:after="0" w:before="0" w:line="240" w:lineRule="auto"/>
            </w:pPr>
            <w:r>
              <w:rPr>
                <w:rFonts w:ascii="Arial" w:hAnsi="Arial"/>
                <w:b/>
                <w:color w:val="666666"/>
                <w:sz w:val="18"/>
              </w:rPr>
              <w:t>significant uncertainties, comprehensive review required</w:t>
            </w:r>
          </w:p>
        </w:tc>
        <w:tc>
          <w:tcPr>
            <w:tcW w:type="dxa" w:w="2300"/>
          </w:tcPr>
          <w:p>
            <w:pPr>
              <w:spacing w:after="0" w:before="0" w:line="240" w:lineRule="auto"/>
            </w:pPr>
            <w:r>
              <w:rPr>
                <w:rFonts w:ascii="Arial" w:hAnsi="Arial"/>
                <w:b/>
                <w:color w:val="666666"/>
                <w:sz w:val="18"/>
              </w:rPr>
              <w:t>recommended</w:t>
            </w:r>
          </w:p>
        </w:tc>
      </w:tr>
    </w:tbl>
    <w:p>
      <w:pPr>
        <w:sectPr>
          <w:pgSz w:w="11920" w:h="16840"/>
          <w:pgMar w:top="680" w:right="640" w:bottom="680" w:left="640" w:header="280" w:footer="320" w:gutter="0"/>
          <w:cols w:space="720"/>
          <w:docGrid w:linePitch="360"/>
        </w:sectPr>
      </w:pPr>
    </w:p>
    <w:p>
      <w:pPr>
        <w:spacing w:after="40" w:before="0" w:line="240" w:lineRule="auto"/>
        <w:jc w:val="center"/>
      </w:pPr>
      <w:r>
        <w:rPr>
          <w:rFonts w:ascii="Arial" w:hAnsi="Arial"/>
          <w:b/>
          <w:color w:val="000000"/>
          <w:sz w:val="28"/>
        </w:rPr>
        <w:t>In the event of failure to initiate an injection</w:t>
      </w:r>
    </w:p>
    <w:p>
      <w:pPr>
        <w:spacing w:after="40" w:before="0" w:line="240" w:lineRule="auto"/>
        <w:jc w:val="center"/>
      </w:pPr>
      <w:r>
        <w:rPr>
          <w:rFonts w:ascii="Arial" w:hAnsi="Arial"/>
          <w:b/>
          <w:color w:val="000000"/>
          <w:sz w:val="26"/>
        </w:rPr>
        <w:t>EYLEA® Replacement Program</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5000"/>
        <w:gridCol w:w="5640"/>
      </w:tblGrid>
      <w:tr>
        <w:trPr>
          <w:cantSplit/>
        </w:trPr>
        <w:tc>
          <w:tcPr>
            <w:tcW w:type="dxa" w:w="5000"/>
          </w:tcPr>
          <w:p>
            <w:pPr>
              <w:spacing w:after="0" w:before="0" w:line="240" w:lineRule="auto"/>
            </w:pPr>
            <w:r>
              <w:rPr>
                <w:rFonts w:ascii="Arial" w:hAnsi="Arial"/>
                <w:b/>
                <w:color w:val="000000"/>
                <w:sz w:val="20"/>
              </w:rPr>
              <w:t>Only in the event of an unsuccessful injection and after assessment of the request</w:t>
            </w:r>
            <w:r>
              <w:rPr>
                <w:rFonts w:ascii="Arial" w:hAnsi="Arial"/>
                <w:b w:val="0"/>
                <w:color w:val="000000"/>
                <w:sz w:val="20"/>
              </w:rPr>
              <w:t>, the EYLEA® Replacement Program may provide healthcare professionals with one replacement unit of EYLEA®.</w:t>
              <w:br/>
              <w:br/>
              <w:t>The case will be reviewed based on the consistency of the information provided in this form.</w:t>
            </w:r>
          </w:p>
        </w:tc>
        <w:tc>
          <w:tcPr>
            <w:tcW w:type="dxa" w:w="5640"/>
          </w:tcPr>
          <w:p>
            <w:pPr>
              <w:spacing w:after="0" w:before="0" w:line="240" w:lineRule="auto"/>
            </w:pPr>
            <w:r>
              <w:rPr>
                <w:rFonts w:ascii="Arial" w:hAnsi="Arial"/>
                <w:b w:val="0"/>
                <w:color w:val="000000"/>
                <w:sz w:val="20"/>
              </w:rPr>
              <w:t>Return the completed and signed form by email, fax, or mail to:</w:t>
              <w:br/>
              <w:t>Email: programme-remplacement-eylea@universalmedica.com</w:t>
              <w:br/>
              <w:t>Fax: 01 86 95 44 85</w:t>
              <w:br/>
              <w:t>Address: Universal Medica; 106 bureaux de la colline; 92213 SAINT CLOUD cedex</w:t>
              <w:br/>
              <w:t>To expedite processing of your request, please use email whenever possible.</w:t>
            </w:r>
          </w:p>
        </w:tc>
      </w:tr>
    </w:tbl>
    <w:p>
      <w:pPr>
        <w:spacing w:after="40" w:before="0" w:line="240" w:lineRule="auto"/>
      </w:pPr>
      <w:r>
        <w:rPr>
          <w:rFonts w:ascii="Arial" w:hAnsi="Arial"/>
          <w:b/>
          <w:color w:val="000000"/>
          <w:sz w:val="20"/>
        </w:rPr>
        <w:t>IMPORTANT:</w:t>
      </w:r>
      <w:r>
        <w:rPr>
          <w:rFonts w:ascii="Arial" w:hAnsi="Arial"/>
          <w:b w:val="0"/>
          <w:color w:val="000000"/>
          <w:sz w:val="20"/>
        </w:rPr>
        <w:t xml:space="preserve"> The information, duly completed, must be consistent to allow assessment of the request's eligibility. Bayer HealthCare reserves the right to approve or refuse a request.</w:t>
      </w:r>
    </w:p>
    <w:p>
      <w:pPr>
        <w:spacing w:after="40" w:before="0" w:line="240" w:lineRule="auto"/>
      </w:pPr>
      <w:r>
        <w:rPr>
          <w:rFonts w:ascii="Arial" w:hAnsi="Arial"/>
          <w:b/>
          <w:color w:val="000000"/>
          <w:sz w:val="20"/>
        </w:rPr>
        <w:t>This form is not intended for reporting adverse events. To report an adverse event, please report it at https://signalement.social-sante.gouv.fr. You may also contact Bayer at the following number for Pharmacovigilance and medical information: 0 800 87 54 54, or use our reporting page https://safetrack-public.bayer.com/.</w:t>
      </w:r>
    </w:p>
    <w:p>
      <w:pPr>
        <w:spacing w:after="40" w:before="0" w:line="240" w:lineRule="auto"/>
      </w:pPr>
      <w:r>
        <w:rPr>
          <w:rFonts w:ascii="Arial" w:hAnsi="Arial"/>
          <w:b w:val="0"/>
          <w:color w:val="000000"/>
          <w:sz w:val="20"/>
        </w:rPr>
        <w:t>* Required fields</w:t>
      </w:r>
    </w:p>
    <w:p>
      <w:pPr>
        <w:keepNext/>
        <w:spacing w:after="40" w:before="80" w:line="240" w:lineRule="auto"/>
        <w:pBdr>
          <w:bottom w:val="single" w:sz="8" w:color="000000"/>
        </w:pBdr>
      </w:pPr>
      <w:r>
        <w:rPr>
          <w:rFonts w:ascii="Arial" w:hAnsi="Arial"/>
          <w:b/>
          <w:color w:val="000000"/>
          <w:sz w:val="22"/>
        </w:rPr>
        <w:t>SECTION 1</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5320"/>
        <w:gridCol w:w="5320"/>
      </w:tblGrid>
      <w:tr>
        <w:trPr>
          <w:cantSplit/>
        </w:trPr>
        <w:tc>
          <w:tcPr>
            <w:tcW w:type="dxa" w:w="5320"/>
          </w:tcPr>
          <w:p>
            <w:pPr>
              <w:spacing w:after="0" w:before="0" w:line="240" w:lineRule="auto"/>
            </w:pPr>
            <w:r>
              <w:rPr>
                <w:rFonts w:ascii="Arial" w:hAnsi="Arial"/>
                <w:b w:val="0"/>
                <w:color w:val="000000"/>
                <w:sz w:val="20"/>
              </w:rPr>
              <w:t xml:space="preserve">EYLEA® lot no. *: </w:t>
            </w:r>
            <w:commentRangeStart w:id="0"/>
            <w:r>
              <w:rPr>
                <w:rFonts w:ascii="Arial" w:hAnsi="Arial"/>
                <w:b w:val="0"/>
                <w:color w:val="1F3FA8"/>
                <w:sz w:val="20"/>
              </w:rPr>
              <w:t>KT0VVC9</w:t>
            </w:r>
            <w:commentRangeEnd w:id="0"/>
            <w:r>
              <w:rPr>
                <w:rStyle w:val="CommentReference"/>
              </w:rPr>
              <w:commentReference w:id="0"/>
            </w:r>
          </w:p>
        </w:tc>
        <w:tc>
          <w:tcPr>
            <w:tcW w:type="dxa" w:w="5320"/>
          </w:tcPr>
          <w:p>
            <w:pPr>
              <w:spacing w:after="0" w:before="0" w:line="240" w:lineRule="auto"/>
            </w:pPr>
            <w:r>
              <w:rPr>
                <w:rFonts w:ascii="Arial" w:hAnsi="Arial"/>
                <w:b w:val="0"/>
                <w:color w:val="000000"/>
                <w:sz w:val="20"/>
              </w:rPr>
              <w:t xml:space="preserve">Product available: Yes </w:t>
            </w:r>
            <w:commentRangeStart w:id="1"/>
            <w:r>
              <w:rPr>
                <w:rFonts w:ascii="Arial" w:hAnsi="Arial"/>
                <w:b w:val="0"/>
                <w:color w:val="1F3FA8"/>
                <w:sz w:val="20"/>
              </w:rPr>
              <w:t>[x]</w:t>
            </w:r>
            <w:commentRangeEnd w:id="1"/>
            <w:r>
              <w:rPr>
                <w:rStyle w:val="CommentReference"/>
              </w:rPr>
              <w:commentReference w:id="1"/>
            </w:r>
            <w:r>
              <w:rPr>
                <w:rFonts w:ascii="Arial" w:hAnsi="Arial"/>
                <w:b w:val="0"/>
                <w:color w:val="000000"/>
                <w:sz w:val="20"/>
              </w:rPr>
              <w:t>; No [ ]</w:t>
            </w:r>
          </w:p>
        </w:tc>
      </w:tr>
      <w:tr>
        <w:trPr>
          <w:cantSplit/>
        </w:trPr>
        <w:tc>
          <w:tcPr>
            <w:tcW w:type="dxa" w:w="5320"/>
          </w:tcPr>
          <w:p>
            <w:pPr>
              <w:spacing w:after="0" w:before="0" w:line="240" w:lineRule="auto"/>
            </w:pPr>
            <w:r>
              <w:rPr>
                <w:rFonts w:ascii="Arial" w:hAnsi="Arial"/>
                <w:b w:val="0"/>
                <w:color w:val="000000"/>
                <w:sz w:val="20"/>
              </w:rPr>
              <w:t>EYLEA 40 mg/mL: Vial [ ]; Prefilled syringe [ ]</w:t>
            </w:r>
          </w:p>
        </w:tc>
        <w:tc>
          <w:tcPr>
            <w:tcW w:type="dxa" w:w="5320"/>
          </w:tcPr>
          <w:p>
            <w:pPr>
              <w:spacing w:after="0" w:before="0" w:line="240" w:lineRule="auto"/>
            </w:pPr>
            <w:r>
              <w:rPr>
                <w:rFonts w:ascii="Arial" w:hAnsi="Arial"/>
                <w:b w:val="0"/>
                <w:color w:val="000000"/>
                <w:sz w:val="20"/>
              </w:rPr>
              <w:t xml:space="preserve">EYLEA 114,3 mg/mL: Vial </w:t>
            </w:r>
            <w:commentRangeStart w:id="2"/>
            <w:r>
              <w:rPr>
                <w:rFonts w:ascii="Arial" w:hAnsi="Arial"/>
                <w:b w:val="0"/>
                <w:color w:val="1F3FA8"/>
                <w:sz w:val="20"/>
              </w:rPr>
              <w:t>[x]</w:t>
            </w:r>
            <w:commentRangeEnd w:id="2"/>
            <w:r>
              <w:rPr>
                <w:rStyle w:val="CommentReference"/>
              </w:rPr>
              <w:commentReference w:id="2"/>
            </w:r>
            <w:r>
              <w:rPr>
                <w:rFonts w:ascii="Arial" w:hAnsi="Arial"/>
                <w:b w:val="0"/>
                <w:color w:val="000000"/>
                <w:sz w:val="20"/>
              </w:rPr>
              <w:t xml:space="preserve">; Prefilled syringe </w:t>
            </w:r>
            <w:commentRangeStart w:id="3"/>
            <w:r>
              <w:rPr>
                <w:rFonts w:ascii="Arial" w:hAnsi="Arial"/>
                <w:b w:val="0"/>
                <w:color w:val="1F3FA8"/>
                <w:sz w:val="20"/>
              </w:rPr>
              <w:t>[x]</w:t>
            </w:r>
            <w:commentRangeEnd w:id="3"/>
            <w:r>
              <w:rPr>
                <w:rStyle w:val="CommentReference"/>
              </w:rPr>
              <w:commentReference w:id="3"/>
            </w:r>
          </w:p>
        </w:tc>
      </w:tr>
      <w:tr>
        <w:trPr>
          <w:cantSplit/>
        </w:trPr>
        <w:tc>
          <w:tcPr>
            <w:tcW w:type="dxa" w:w="5320"/>
          </w:tcPr>
          <w:p>
            <w:pPr>
              <w:spacing w:after="0" w:before="0" w:line="240" w:lineRule="auto"/>
            </w:pPr>
            <w:r>
              <w:rPr>
                <w:rFonts w:ascii="Arial" w:hAnsi="Arial"/>
                <w:b w:val="0"/>
                <w:color w:val="000000"/>
                <w:sz w:val="20"/>
              </w:rPr>
              <w:t xml:space="preserve">Event date: </w:t>
            </w:r>
            <w:commentRangeStart w:id="4"/>
            <w:r>
              <w:rPr>
                <w:rFonts w:ascii="Arial" w:hAnsi="Arial"/>
                <w:b w:val="0"/>
                <w:color w:val="1F3FA8"/>
                <w:sz w:val="20"/>
              </w:rPr>
              <w:t>08/04/2026</w:t>
            </w:r>
            <w:commentRangeEnd w:id="4"/>
            <w:r>
              <w:rPr>
                <w:rStyle w:val="CommentReference"/>
              </w:rPr>
              <w:commentReference w:id="4"/>
            </w:r>
          </w:p>
        </w:tc>
        <w:tc>
          <w:tcPr>
            <w:tcW w:type="dxa" w:w="5320"/>
          </w:tcPr>
          <w:p>
            <w:pPr>
              <w:spacing w:after="0" w:before="0" w:line="240" w:lineRule="auto"/>
            </w:pPr>
            <w:r>
              <w:rPr>
                <w:rFonts w:ascii="Arial" w:hAnsi="Arial"/>
                <w:b w:val="0"/>
                <w:color w:val="000000"/>
                <w:sz w:val="20"/>
              </w:rPr>
              <w:t>(7 characters shown on the box after "LOT" and before "EXP", followed by the expiration date.)</w:t>
            </w:r>
          </w:p>
        </w:tc>
      </w:tr>
    </w:tbl>
    <w:tbl>
      <w:tblPr>
        <w:tblStyle w:val="TableGrid"/>
        <w:tblW w:type="auto" w:w="0"/>
        <w:tblLayout w:type="fixed"/>
        <w:tblLook w:firstColumn="1" w:firstRow="1" w:lastColumn="0" w:lastRow="0" w:noHBand="0" w:noVBand="1" w:val="04A0"/>
      </w:tblPr>
      <w:tblGrid>
        <w:gridCol w:w="5320"/>
        <w:gridCol w:w="5320"/>
      </w:tblGrid>
      <w:tr>
        <w:tc>
          <w:tcPr>
            <w:tcW w:type="dxa" w:w="10640"/>
            <w:gridSpan w:val="2"/>
          </w:tcPr>
          <w:p>
            <w:pPr>
              <w:spacing w:after="0" w:before="0" w:line="240" w:lineRule="auto"/>
            </w:pPr>
            <w:r>
              <w:rPr>
                <w:rFonts w:ascii="Arial" w:hAnsi="Arial"/>
                <w:b w:val="0"/>
                <w:color w:val="000000"/>
                <w:sz w:val="20"/>
              </w:rPr>
              <w:t xml:space="preserve">First name, last name of the healthcare professional *: </w:t>
            </w:r>
            <w:commentRangeStart w:id="5"/>
            <w:r>
              <w:rPr>
                <w:rFonts w:ascii="Arial" w:hAnsi="Arial"/>
                <w:b w:val="0"/>
                <w:color w:val="1F3FA8"/>
                <w:sz w:val="20"/>
              </w:rPr>
              <w:t>Dr ASSAD-MEILLON Ghislaine</w:t>
            </w:r>
            <w:commentRangeEnd w:id="5"/>
            <w:r>
              <w:rPr>
                <w:rStyle w:val="CommentReference"/>
              </w:rPr>
              <w:commentReference w:id="5"/>
            </w:r>
          </w:p>
        </w:tc>
      </w:tr>
      <w:tr>
        <w:tc>
          <w:tcPr>
            <w:tcW w:type="dxa" w:w="5320"/>
          </w:tcPr>
          <w:p>
            <w:pPr>
              <w:spacing w:after="0" w:before="0" w:line="240" w:lineRule="auto"/>
            </w:pPr>
            <w:r>
              <w:rPr>
                <w:rFonts w:ascii="Arial" w:hAnsi="Arial"/>
                <w:b w:val="0"/>
                <w:color w:val="000000"/>
                <w:sz w:val="20"/>
              </w:rPr>
              <w:t xml:space="preserve">Specialty: Ophthalmologist </w:t>
            </w:r>
            <w:commentRangeStart w:id="6"/>
            <w:r>
              <w:rPr>
                <w:rFonts w:ascii="Arial" w:hAnsi="Arial"/>
                <w:b w:val="0"/>
                <w:color w:val="1F3FA8"/>
                <w:sz w:val="20"/>
              </w:rPr>
              <w:t>[x]</w:t>
            </w:r>
            <w:commentRangeEnd w:id="6"/>
            <w:r>
              <w:rPr>
                <w:rStyle w:val="CommentReference"/>
              </w:rPr>
              <w:commentReference w:id="6"/>
            </w:r>
          </w:p>
        </w:tc>
        <w:tc>
          <w:tcPr>
            <w:tcW w:type="dxa" w:w="5320"/>
          </w:tcPr>
          <w:p>
            <w:pPr>
              <w:spacing w:after="0" w:before="0" w:line="240" w:lineRule="auto"/>
            </w:pPr>
            <w:r>
              <w:rPr>
                <w:rFonts w:ascii="Arial" w:hAnsi="Arial"/>
                <w:b w:val="0"/>
                <w:color w:val="000000"/>
                <w:sz w:val="20"/>
              </w:rPr>
              <w:t>RPPS no. or Medical Council registration no. *:</w:t>
            </w:r>
          </w:p>
        </w:tc>
      </w:tr>
      <w:tr>
        <w:tc>
          <w:tcPr>
            <w:tcW w:type="dxa" w:w="5320"/>
          </w:tcPr>
          <w:p>
            <w:pPr>
              <w:spacing w:after="0" w:before="0" w:line="240" w:lineRule="auto"/>
            </w:pPr>
            <w:r>
              <w:rPr>
                <w:rFonts w:ascii="Arial" w:hAnsi="Arial"/>
                <w:b w:val="0"/>
                <w:color w:val="000000"/>
                <w:sz w:val="20"/>
              </w:rPr>
              <w:t xml:space="preserve">Medical practice / Clinic / Hospital *: </w:t>
            </w:r>
            <w:commentRangeStart w:id="7"/>
            <w:r>
              <w:rPr>
                <w:rFonts w:ascii="Arial" w:hAnsi="Arial"/>
                <w:b w:val="0"/>
                <w:color w:val="1F3FA8"/>
                <w:sz w:val="20"/>
              </w:rPr>
              <w:t>OPHTAVALMY</w:t>
            </w:r>
            <w:commentRangeEnd w:id="7"/>
            <w:r>
              <w:rPr>
                <w:rStyle w:val="CommentReference"/>
              </w:rPr>
              <w:commentReference w:id="7"/>
            </w:r>
          </w:p>
        </w:tc>
        <w:tc>
          <w:tcPr>
            <w:tcW w:type="dxa" w:w="5320"/>
            <w:vMerge w:val="restart"/>
          </w:tcPr>
          <w:p>
            <w:pPr>
              <w:spacing w:after="0" w:before="0" w:line="240" w:lineRule="auto"/>
            </w:pPr>
            <w:r>
              <w:rPr>
                <w:rFonts w:ascii="Arial" w:hAnsi="Arial"/>
                <w:b w:val="0"/>
                <w:color w:val="000000"/>
                <w:sz w:val="18"/>
              </w:rPr>
              <w:t>Dr G. ASSAD MEILLON</w:t>
              <w:br/>
              <w:t>Ophthalmologist – Sector II contracted practitioner</w:t>
              <w:br/>
              <w:t>Parc Valmy - 9 rue Jeanne Barret</w:t>
              <w:br/>
              <w:t>21000 DIJON</w:t>
              <w:br/>
              <w:t>21 1 70251 9</w:t>
              <w:br/>
              <w:t>RPPS 10100959542</w:t>
            </w:r>
          </w:p>
        </w:tc>
      </w:tr>
      <w:tr>
        <w:tc>
          <w:tcPr>
            <w:tcW w:type="dxa" w:w="5320"/>
          </w:tcPr>
          <w:p>
            <w:pPr>
              <w:spacing w:after="0" w:before="0" w:line="240" w:lineRule="auto"/>
            </w:pPr>
            <w:r>
              <w:rPr>
                <w:rFonts w:ascii="Arial" w:hAnsi="Arial"/>
                <w:b w:val="0"/>
                <w:color w:val="000000"/>
                <w:sz w:val="20"/>
              </w:rPr>
              <w:t xml:space="preserve">Street *: </w:t>
            </w:r>
            <w:commentRangeStart w:id="8"/>
            <w:r>
              <w:rPr>
                <w:rFonts w:ascii="Arial" w:hAnsi="Arial"/>
                <w:b w:val="0"/>
                <w:color w:val="1F3FA8"/>
                <w:sz w:val="20"/>
              </w:rPr>
              <w:t>9 RUE JEANNE BARRET</w:t>
            </w:r>
            <w:commentRangeEnd w:id="8"/>
            <w:r>
              <w:rPr>
                <w:rStyle w:val="CommentReference"/>
              </w:rPr>
              <w:commentReference w:id="8"/>
            </w:r>
          </w:p>
        </w:tc>
        <w:tc>
          <w:tcPr>
            <w:tcW w:type="dxa" w:w="5320"/>
            <w:vMerge/>
          </w:tcPr>
          <w:p>
            <w:pPr>
              <w:spacing w:after="0" w:before="0" w:line="240" w:lineRule="auto"/>
            </w:pPr>
          </w:p>
        </w:tc>
      </w:tr>
      <w:tr>
        <w:tc>
          <w:tcPr>
            <w:tcW w:type="dxa" w:w="5320"/>
          </w:tcPr>
          <w:p>
            <w:pPr>
              <w:spacing w:after="0" w:before="0" w:line="240" w:lineRule="auto"/>
            </w:pPr>
            <w:r>
              <w:rPr>
                <w:rFonts w:ascii="Arial" w:hAnsi="Arial"/>
                <w:b w:val="0"/>
                <w:color w:val="000000"/>
                <w:sz w:val="20"/>
              </w:rPr>
              <w:t xml:space="preserve">City *: </w:t>
            </w:r>
            <w:commentRangeStart w:id="9"/>
            <w:r>
              <w:rPr>
                <w:rFonts w:ascii="Arial" w:hAnsi="Arial"/>
                <w:b w:val="0"/>
                <w:color w:val="1F3FA8"/>
                <w:sz w:val="20"/>
              </w:rPr>
              <w:t>DIJON</w:t>
            </w:r>
            <w:commentRangeEnd w:id="9"/>
            <w:r>
              <w:rPr>
                <w:rStyle w:val="CommentReference"/>
              </w:rPr>
              <w:commentReference w:id="9"/>
            </w:r>
          </w:p>
        </w:tc>
        <w:tc>
          <w:tcPr>
            <w:tcW w:type="dxa" w:w="5320"/>
          </w:tcPr>
          <w:p>
            <w:pPr>
              <w:spacing w:after="0" w:before="0" w:line="240" w:lineRule="auto"/>
            </w:pPr>
            <w:r>
              <w:rPr>
                <w:rFonts w:ascii="Arial" w:hAnsi="Arial"/>
                <w:b w:val="0"/>
                <w:color w:val="000000"/>
                <w:sz w:val="20"/>
              </w:rPr>
              <w:t xml:space="preserve">Postal code *: </w:t>
            </w:r>
            <w:commentRangeStart w:id="10"/>
            <w:r>
              <w:rPr>
                <w:rFonts w:ascii="Arial" w:hAnsi="Arial"/>
                <w:b w:val="0"/>
                <w:color w:val="1F3FA8"/>
                <w:sz w:val="20"/>
              </w:rPr>
              <w:t>21000</w:t>
            </w:r>
            <w:commentRangeEnd w:id="10"/>
            <w:r>
              <w:rPr>
                <w:rStyle w:val="CommentReference"/>
              </w:rPr>
              <w:commentReference w:id="10"/>
            </w:r>
          </w:p>
        </w:tc>
      </w:tr>
      <w:tr>
        <w:tc>
          <w:tcPr>
            <w:tcW w:type="dxa" w:w="5320"/>
          </w:tcPr>
          <w:p>
            <w:pPr>
              <w:spacing w:after="0" w:before="0" w:line="240" w:lineRule="auto"/>
            </w:pPr>
            <w:r>
              <w:rPr>
                <w:rFonts w:ascii="Arial" w:hAnsi="Arial"/>
                <w:b w:val="0"/>
                <w:color w:val="000000"/>
                <w:sz w:val="20"/>
              </w:rPr>
              <w:t xml:space="preserve">Telephone: </w:t>
            </w:r>
            <w:commentRangeStart w:id="11"/>
            <w:r>
              <w:rPr>
                <w:rFonts w:ascii="Arial" w:hAnsi="Arial"/>
                <w:b w:val="0"/>
                <w:color w:val="1F3FA8"/>
                <w:sz w:val="20"/>
              </w:rPr>
              <w:t>03 80 23 74 34</w:t>
            </w:r>
            <w:commentRangeEnd w:id="11"/>
            <w:r>
              <w:rPr>
                <w:rStyle w:val="CommentReference"/>
              </w:rPr>
              <w:commentReference w:id="11"/>
            </w:r>
          </w:p>
        </w:tc>
        <w:tc>
          <w:tcPr>
            <w:tcW w:type="dxa" w:w="5320"/>
          </w:tcPr>
          <w:p>
            <w:pPr>
              <w:spacing w:after="0" w:before="0" w:line="240" w:lineRule="auto"/>
            </w:pPr>
            <w:r>
              <w:rPr>
                <w:rFonts w:ascii="Arial" w:hAnsi="Arial"/>
                <w:b w:val="0"/>
                <w:color w:val="000000"/>
                <w:sz w:val="20"/>
              </w:rPr>
              <w:t>Fax:</w:t>
            </w:r>
          </w:p>
        </w:tc>
      </w:tr>
      <w:tr>
        <w:tc>
          <w:tcPr>
            <w:tcW w:type="dxa" w:w="10640"/>
            <w:gridSpan w:val="2"/>
          </w:tcPr>
          <w:p>
            <w:pPr>
              <w:spacing w:after="0" w:before="0" w:line="240" w:lineRule="auto"/>
            </w:pPr>
            <w:r>
              <w:rPr>
                <w:rFonts w:ascii="Arial" w:hAnsi="Arial"/>
                <w:b w:val="0"/>
                <w:color w:val="000000"/>
                <w:sz w:val="20"/>
              </w:rPr>
              <w:t xml:space="preserve">Email: </w:t>
            </w:r>
            <w:commentRangeStart w:id="12"/>
            <w:r>
              <w:rPr>
                <w:rFonts w:ascii="Arial" w:hAnsi="Arial"/>
                <w:b w:val="0"/>
                <w:color w:val="1F3FA8"/>
                <w:sz w:val="20"/>
              </w:rPr>
              <w:t>contact@ophtavalmy.com</w:t>
            </w:r>
            <w:commentRangeEnd w:id="12"/>
            <w:r>
              <w:rPr>
                <w:rStyle w:val="CommentReference"/>
              </w:rPr>
              <w:commentReference w:id="12"/>
            </w:r>
          </w:p>
        </w:tc>
      </w:tr>
      <w:tr>
        <w:tc>
          <w:tcPr>
            <w:tcW w:type="dxa" w:w="10640"/>
            <w:gridSpan w:val="2"/>
          </w:tcPr>
          <w:p>
            <w:pPr>
              <w:spacing w:after="0" w:before="0" w:line="240" w:lineRule="auto"/>
            </w:pPr>
            <w:r>
              <w:rPr>
                <w:rFonts w:ascii="Arial" w:hAnsi="Arial"/>
                <w:b w:val="0"/>
                <w:color w:val="000000"/>
                <w:sz w:val="20"/>
              </w:rPr>
              <w:t>First letter of the first name and first two letters of the last name of the patient intended to receive the injection:</w:t>
            </w:r>
          </w:p>
        </w:tc>
      </w:tr>
      <w:tr>
        <w:tc>
          <w:tcPr>
            <w:tcW w:type="dxa" w:w="10640"/>
            <w:gridSpan w:val="2"/>
          </w:tcPr>
          <w:p>
            <w:pPr>
              <w:spacing w:after="0" w:before="0" w:line="240" w:lineRule="auto"/>
            </w:pPr>
            <w:r>
              <w:rPr>
                <w:rFonts w:ascii="Arial" w:hAnsi="Arial"/>
                <w:b w:val="0"/>
                <w:color w:val="000000"/>
                <w:sz w:val="20"/>
              </w:rPr>
              <w:t>Date of birth of the patient intended to receive the injection:</w:t>
            </w:r>
          </w:p>
        </w:tc>
      </w:tr>
    </w:tbl>
    <w:p>
      <w:pPr>
        <w:keepNext/>
        <w:spacing w:after="40" w:before="80" w:line="240" w:lineRule="auto"/>
        <w:pBdr>
          <w:bottom w:val="single" w:sz="8" w:color="000000"/>
        </w:pBdr>
      </w:pPr>
      <w:r>
        <w:rPr>
          <w:rFonts w:ascii="Arial" w:hAnsi="Arial"/>
          <w:b/>
          <w:color w:val="000000"/>
          <w:sz w:val="22"/>
        </w:rPr>
        <w:t>Delivery address for the EYLEA® replacement</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10640"/>
      </w:tblGrid>
      <w:tr>
        <w:trPr>
          <w:cantSplit/>
        </w:trPr>
        <w:tc>
          <w:tcPr>
            <w:tcW w:type="dxa" w:w="10640"/>
          </w:tcPr>
          <w:p>
            <w:pPr>
              <w:spacing w:after="0" w:before="0" w:line="240" w:lineRule="auto"/>
            </w:pPr>
            <w:r>
              <w:rPr>
                <w:rFonts w:ascii="Arial" w:hAnsi="Arial"/>
                <w:b w:val="0"/>
                <w:color w:val="000000"/>
                <w:sz w:val="20"/>
              </w:rPr>
              <w:t xml:space="preserve">The delivery address is identical to the address of the address given above: Yes </w:t>
            </w:r>
            <w:commentRangeStart w:id="13"/>
            <w:r>
              <w:rPr>
                <w:rFonts w:ascii="Arial" w:hAnsi="Arial"/>
                <w:b w:val="0"/>
                <w:color w:val="1F3FA8"/>
                <w:sz w:val="20"/>
              </w:rPr>
              <w:t>[x]</w:t>
            </w:r>
            <w:commentRangeEnd w:id="13"/>
            <w:r>
              <w:rPr>
                <w:rStyle w:val="CommentReference"/>
              </w:rPr>
              <w:commentReference w:id="13"/>
            </w:r>
            <w:r>
              <w:rPr>
                <w:rFonts w:ascii="Arial" w:hAnsi="Arial"/>
                <w:b w:val="0"/>
                <w:color w:val="000000"/>
                <w:sz w:val="20"/>
              </w:rPr>
              <w:t>; No [ ]</w:t>
            </w:r>
          </w:p>
        </w:tc>
      </w:tr>
      <w:tr>
        <w:trPr>
          <w:cantSplit/>
        </w:trPr>
        <w:tc>
          <w:tcPr>
            <w:tcW w:type="dxa" w:w="10640"/>
          </w:tcPr>
          <w:p>
            <w:pPr>
              <w:spacing w:after="0" w:before="0" w:line="240" w:lineRule="auto"/>
            </w:pPr>
            <w:r>
              <w:rPr>
                <w:rFonts w:ascii="Arial" w:hAnsi="Arial"/>
                <w:b w:val="0"/>
                <w:color w:val="000000"/>
                <w:sz w:val="20"/>
              </w:rPr>
              <w:t xml:space="preserve">First name, last name of a contact person for delivery: </w:t>
            </w:r>
          </w:p>
        </w:tc>
      </w:tr>
    </w:tbl>
    <w:p>
      <w:r>
        <w:br w:type="page"/>
      </w:r>
    </w:p>
    <w:p>
      <w:pPr>
        <w:spacing w:after="40" w:before="0" w:line="240" w:lineRule="auto"/>
      </w:pPr>
      <w:r>
        <w:rPr>
          <w:rFonts w:ascii="Arial" w:hAnsi="Arial"/>
          <w:b/>
          <w:color w:val="000000"/>
          <w:sz w:val="20"/>
        </w:rPr>
        <w:t>If the address differs from the address given above, please complete the fields below:</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6800"/>
        <w:gridCol w:w="3840"/>
      </w:tblGrid>
      <w:tr>
        <w:trPr>
          <w:cantSplit/>
        </w:trPr>
        <w:tc>
          <w:tcPr>
            <w:tcW w:type="dxa" w:w="6800"/>
          </w:tcPr>
          <w:p>
            <w:pPr>
              <w:spacing w:after="0" w:before="0" w:line="240" w:lineRule="auto"/>
            </w:pPr>
            <w:r>
              <w:rPr>
                <w:rFonts w:ascii="Arial" w:hAnsi="Arial"/>
                <w:b w:val="0"/>
                <w:color w:val="000000"/>
                <w:sz w:val="20"/>
              </w:rPr>
              <w:t>Delivery location (Medical practice / Clinic / Hospital / Pharmacy)</w:t>
            </w:r>
          </w:p>
        </w:tc>
        <w:tc>
          <w:tcPr>
            <w:tcW w:type="dxa" w:w="3840"/>
          </w:tcPr>
          <w:p>
            <w:pPr>
              <w:spacing w:after="0" w:before="0" w:line="240" w:lineRule="auto"/>
            </w:pPr>
          </w:p>
        </w:tc>
      </w:tr>
      <w:tr>
        <w:trPr>
          <w:cantSplit/>
        </w:trPr>
        <w:tc>
          <w:tcPr>
            <w:tcW w:type="dxa" w:w="6800"/>
          </w:tcPr>
          <w:p>
            <w:pPr>
              <w:spacing w:after="0" w:before="0" w:line="240" w:lineRule="auto"/>
            </w:pPr>
            <w:r>
              <w:rPr>
                <w:rFonts w:ascii="Arial" w:hAnsi="Arial"/>
                <w:b w:val="0"/>
                <w:color w:val="000000"/>
                <w:sz w:val="20"/>
              </w:rPr>
              <w:t>Street *</w:t>
            </w:r>
          </w:p>
        </w:tc>
        <w:tc>
          <w:tcPr>
            <w:tcW w:type="dxa" w:w="3840"/>
          </w:tcPr>
          <w:p>
            <w:pPr>
              <w:spacing w:after="0" w:before="0" w:line="240" w:lineRule="auto"/>
            </w:pPr>
          </w:p>
        </w:tc>
      </w:tr>
      <w:tr>
        <w:trPr>
          <w:cantSplit/>
        </w:trPr>
        <w:tc>
          <w:tcPr>
            <w:tcW w:type="dxa" w:w="6800"/>
          </w:tcPr>
          <w:p>
            <w:pPr>
              <w:spacing w:after="0" w:before="0" w:line="240" w:lineRule="auto"/>
            </w:pPr>
            <w:r>
              <w:rPr>
                <w:rFonts w:ascii="Arial" w:hAnsi="Arial"/>
                <w:b w:val="0"/>
                <w:color w:val="000000"/>
                <w:sz w:val="20"/>
              </w:rPr>
              <w:t>City *</w:t>
            </w:r>
          </w:p>
        </w:tc>
        <w:tc>
          <w:tcPr>
            <w:tcW w:type="dxa" w:w="3840"/>
          </w:tcPr>
          <w:p>
            <w:pPr>
              <w:spacing w:after="0" w:before="0" w:line="240" w:lineRule="auto"/>
            </w:pPr>
          </w:p>
        </w:tc>
      </w:tr>
      <w:tr>
        <w:trPr>
          <w:cantSplit/>
        </w:trPr>
        <w:tc>
          <w:tcPr>
            <w:tcW w:type="dxa" w:w="6800"/>
          </w:tcPr>
          <w:p>
            <w:pPr>
              <w:spacing w:after="0" w:before="0" w:line="240" w:lineRule="auto"/>
            </w:pPr>
            <w:r>
              <w:rPr>
                <w:rFonts w:ascii="Arial" w:hAnsi="Arial"/>
                <w:b w:val="0"/>
                <w:color w:val="000000"/>
                <w:sz w:val="20"/>
              </w:rPr>
              <w:t>Postal code *</w:t>
            </w:r>
          </w:p>
        </w:tc>
        <w:tc>
          <w:tcPr>
            <w:tcW w:type="dxa" w:w="3840"/>
          </w:tcPr>
          <w:p>
            <w:pPr>
              <w:spacing w:after="0" w:before="0" w:line="240" w:lineRule="auto"/>
            </w:pPr>
          </w:p>
        </w:tc>
      </w:tr>
      <w:tr>
        <w:trPr>
          <w:cantSplit/>
        </w:trPr>
        <w:tc>
          <w:tcPr>
            <w:tcW w:type="dxa" w:w="6800"/>
          </w:tcPr>
          <w:p>
            <w:pPr>
              <w:spacing w:after="0" w:before="0" w:line="240" w:lineRule="auto"/>
            </w:pPr>
            <w:r>
              <w:rPr>
                <w:rFonts w:ascii="Arial" w:hAnsi="Arial"/>
                <w:b w:val="0"/>
                <w:color w:val="000000"/>
                <w:sz w:val="20"/>
              </w:rPr>
              <w:t>Fax</w:t>
            </w:r>
          </w:p>
        </w:tc>
        <w:tc>
          <w:tcPr>
            <w:tcW w:type="dxa" w:w="3840"/>
          </w:tcPr>
          <w:p>
            <w:pPr>
              <w:spacing w:after="0" w:before="0" w:line="240" w:lineRule="auto"/>
            </w:pPr>
          </w:p>
        </w:tc>
      </w:tr>
      <w:tr>
        <w:trPr>
          <w:cantSplit/>
        </w:trPr>
        <w:tc>
          <w:tcPr>
            <w:tcW w:type="dxa" w:w="6800"/>
          </w:tcPr>
          <w:p>
            <w:pPr>
              <w:spacing w:after="0" w:before="0" w:line="240" w:lineRule="auto"/>
            </w:pPr>
            <w:r>
              <w:rPr>
                <w:rFonts w:ascii="Arial" w:hAnsi="Arial"/>
                <w:b w:val="0"/>
                <w:color w:val="000000"/>
                <w:sz w:val="20"/>
              </w:rPr>
              <w:t xml:space="preserve">Important information for delivery (e.g., hours of </w:t>
            </w:r>
            <w:commentRangeStart w:id="14"/>
            <w:r>
              <w:rPr>
                <w:rFonts w:ascii="Arial" w:hAnsi="Arial"/>
                <w:b w:val="0"/>
                <w:color w:val="000000"/>
                <w:sz w:val="20"/>
              </w:rPr>
              <w:t>[ILLEGIBLE]</w:t>
            </w:r>
            <w:commentRangeEnd w:id="14"/>
            <w:r>
              <w:rPr>
                <w:rStyle w:val="CommentReference"/>
              </w:rPr>
              <w:commentReference w:id="14"/>
            </w:r>
            <w:r>
              <w:rPr>
                <w:rFonts w:ascii="Arial" w:hAnsi="Arial"/>
                <w:b w:val="0"/>
                <w:color w:val="000000"/>
                <w:sz w:val="20"/>
              </w:rPr>
              <w:t>)</w:t>
            </w:r>
          </w:p>
        </w:tc>
        <w:tc>
          <w:tcPr>
            <w:tcW w:type="dxa" w:w="3840"/>
          </w:tcPr>
          <w:p>
            <w:pPr>
              <w:spacing w:after="0" w:before="0" w:line="240" w:lineRule="auto"/>
            </w:pPr>
          </w:p>
        </w:tc>
      </w:tr>
    </w:tbl>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3200"/>
        <w:gridCol w:w="7440"/>
      </w:tblGrid>
      <w:tr>
        <w:trPr>
          <w:cantSplit/>
        </w:trPr>
        <w:tc>
          <w:tcPr>
            <w:tcW w:type="dxa" w:w="3200"/>
          </w:tcPr>
          <w:p>
            <w:pPr>
              <w:spacing w:after="0" w:before="0" w:line="240" w:lineRule="auto"/>
            </w:pPr>
            <w:r>
              <w:rPr>
                <w:rFonts w:ascii="Arial" w:hAnsi="Arial"/>
                <w:b w:val="0"/>
                <w:color w:val="000000"/>
                <w:sz w:val="20"/>
              </w:rPr>
              <w:t>Day</w:t>
            </w:r>
          </w:p>
        </w:tc>
        <w:tc>
          <w:tcPr>
            <w:tcW w:type="dxa" w:w="7440"/>
          </w:tcPr>
          <w:p>
            <w:pPr>
              <w:spacing w:after="0" w:before="0" w:line="240" w:lineRule="auto"/>
            </w:pPr>
            <w:r>
              <w:rPr>
                <w:rFonts w:ascii="Arial" w:hAnsi="Arial"/>
                <w:b w:val="0"/>
                <w:color w:val="000000"/>
                <w:sz w:val="20"/>
              </w:rPr>
              <w:t>Hours</w:t>
            </w:r>
          </w:p>
        </w:tc>
      </w:tr>
      <w:tr>
        <w:trPr>
          <w:cantSplit/>
        </w:trPr>
        <w:tc>
          <w:tcPr>
            <w:tcW w:type="dxa" w:w="3200"/>
          </w:tcPr>
          <w:p>
            <w:pPr>
              <w:spacing w:after="0" w:before="0" w:line="240" w:lineRule="auto"/>
            </w:pPr>
            <w:r>
              <w:rPr>
                <w:rFonts w:ascii="Arial" w:hAnsi="Arial"/>
                <w:b w:val="0"/>
                <w:color w:val="000000"/>
                <w:sz w:val="20"/>
              </w:rPr>
              <w:t>Monday</w:t>
            </w:r>
          </w:p>
        </w:tc>
        <w:tc>
          <w:tcPr>
            <w:tcW w:type="dxa" w:w="7440"/>
          </w:tcPr>
          <w:p>
            <w:pPr>
              <w:spacing w:after="0" w:before="0" w:line="240" w:lineRule="auto"/>
            </w:pPr>
            <w:r>
              <w:rPr>
                <w:rFonts w:ascii="Arial" w:hAnsi="Arial"/>
                <w:b w:val="0"/>
                <w:color w:val="000000"/>
                <w:sz w:val="20"/>
              </w:rPr>
              <w:t>07:45–12:00 / 13:30–18:00</w:t>
            </w:r>
          </w:p>
        </w:tc>
      </w:tr>
      <w:tr>
        <w:trPr>
          <w:cantSplit/>
        </w:trPr>
        <w:tc>
          <w:tcPr>
            <w:tcW w:type="dxa" w:w="3200"/>
          </w:tcPr>
          <w:p>
            <w:pPr>
              <w:spacing w:after="0" w:before="0" w:line="240" w:lineRule="auto"/>
            </w:pPr>
            <w:r>
              <w:rPr>
                <w:rFonts w:ascii="Arial" w:hAnsi="Arial"/>
                <w:b w:val="0"/>
                <w:color w:val="000000"/>
                <w:sz w:val="20"/>
              </w:rPr>
              <w:t>Tuesday</w:t>
            </w:r>
          </w:p>
        </w:tc>
        <w:tc>
          <w:tcPr>
            <w:tcW w:type="dxa" w:w="7440"/>
          </w:tcPr>
          <w:p>
            <w:pPr>
              <w:spacing w:after="0" w:before="0" w:line="240" w:lineRule="auto"/>
            </w:pPr>
            <w:r>
              <w:rPr>
                <w:rFonts w:ascii="Arial" w:hAnsi="Arial"/>
                <w:b w:val="0"/>
                <w:color w:val="000000"/>
                <w:sz w:val="20"/>
              </w:rPr>
              <w:t>07:45–12:00 / 13:45–18:00</w:t>
            </w:r>
          </w:p>
        </w:tc>
      </w:tr>
      <w:tr>
        <w:trPr>
          <w:cantSplit/>
        </w:trPr>
        <w:tc>
          <w:tcPr>
            <w:tcW w:type="dxa" w:w="3200"/>
          </w:tcPr>
          <w:p>
            <w:pPr>
              <w:spacing w:after="0" w:before="0" w:line="240" w:lineRule="auto"/>
            </w:pPr>
            <w:r>
              <w:rPr>
                <w:rFonts w:ascii="Arial" w:hAnsi="Arial"/>
                <w:b w:val="0"/>
                <w:color w:val="000000"/>
                <w:sz w:val="20"/>
              </w:rPr>
              <w:t>Wednesday</w:t>
            </w:r>
          </w:p>
        </w:tc>
        <w:tc>
          <w:tcPr>
            <w:tcW w:type="dxa" w:w="7440"/>
          </w:tcPr>
          <w:p>
            <w:pPr>
              <w:spacing w:after="0" w:before="0" w:line="240" w:lineRule="auto"/>
            </w:pPr>
            <w:r>
              <w:rPr>
                <w:rFonts w:ascii="Arial" w:hAnsi="Arial"/>
                <w:b w:val="0"/>
                <w:color w:val="000000"/>
                <w:sz w:val="20"/>
              </w:rPr>
              <w:t>08:30–12:00 / 13:30–18:00</w:t>
            </w:r>
          </w:p>
        </w:tc>
      </w:tr>
      <w:tr>
        <w:trPr>
          <w:cantSplit/>
        </w:trPr>
        <w:tc>
          <w:tcPr>
            <w:tcW w:type="dxa" w:w="3200"/>
          </w:tcPr>
          <w:p>
            <w:pPr>
              <w:spacing w:after="0" w:before="0" w:line="240" w:lineRule="auto"/>
            </w:pPr>
            <w:r>
              <w:rPr>
                <w:rFonts w:ascii="Arial" w:hAnsi="Arial"/>
                <w:b w:val="0"/>
                <w:color w:val="000000"/>
                <w:sz w:val="20"/>
              </w:rPr>
              <w:t>Thursday</w:t>
            </w:r>
          </w:p>
        </w:tc>
        <w:tc>
          <w:tcPr>
            <w:tcW w:type="dxa" w:w="7440"/>
          </w:tcPr>
          <w:p>
            <w:pPr>
              <w:spacing w:after="0" w:before="0" w:line="240" w:lineRule="auto"/>
            </w:pPr>
            <w:r>
              <w:rPr>
                <w:rFonts w:ascii="Arial" w:hAnsi="Arial"/>
                <w:b w:val="0"/>
                <w:color w:val="000000"/>
                <w:sz w:val="20"/>
              </w:rPr>
              <w:t>07:45–12:00 / 13:45–18:00</w:t>
            </w:r>
          </w:p>
        </w:tc>
      </w:tr>
      <w:tr>
        <w:trPr>
          <w:cantSplit/>
        </w:trPr>
        <w:tc>
          <w:tcPr>
            <w:tcW w:type="dxa" w:w="3200"/>
          </w:tcPr>
          <w:p>
            <w:pPr>
              <w:spacing w:after="0" w:before="0" w:line="240" w:lineRule="auto"/>
            </w:pPr>
            <w:r>
              <w:rPr>
                <w:rFonts w:ascii="Arial" w:hAnsi="Arial"/>
                <w:b w:val="0"/>
                <w:color w:val="000000"/>
                <w:sz w:val="20"/>
              </w:rPr>
              <w:t>Friday</w:t>
            </w:r>
          </w:p>
        </w:tc>
        <w:tc>
          <w:tcPr>
            <w:tcW w:type="dxa" w:w="7440"/>
          </w:tcPr>
          <w:p>
            <w:pPr>
              <w:spacing w:after="0" w:before="0" w:line="240" w:lineRule="auto"/>
            </w:pPr>
            <w:r>
              <w:rPr>
                <w:rFonts w:ascii="Arial" w:hAnsi="Arial"/>
                <w:b w:val="0"/>
                <w:color w:val="000000"/>
                <w:sz w:val="20"/>
              </w:rPr>
              <w:t>07:45–12:00 / 13:45–16:30</w:t>
            </w:r>
          </w:p>
        </w:tc>
      </w:tr>
    </w:tbl>
    <w:p>
      <w:pPr>
        <w:keepNext/>
        <w:spacing w:after="40" w:before="80" w:line="240" w:lineRule="auto"/>
        <w:pBdr>
          <w:bottom w:val="single" w:sz="8" w:color="000000"/>
        </w:pBdr>
      </w:pPr>
      <w:r>
        <w:rPr>
          <w:rFonts w:ascii="Arial" w:hAnsi="Arial"/>
          <w:b/>
          <w:color w:val="000000"/>
          <w:sz w:val="22"/>
        </w:rPr>
        <w:t>SECTION 2</w:t>
      </w:r>
    </w:p>
    <w:p>
      <w:pPr>
        <w:spacing w:after="40" w:before="0" w:line="240" w:lineRule="auto"/>
      </w:pPr>
      <w:r>
        <w:rPr>
          <w:rFonts w:ascii="Arial" w:hAnsi="Arial"/>
          <w:b w:val="0"/>
          <w:color w:val="000000"/>
          <w:sz w:val="20"/>
        </w:rPr>
        <w:t>Reasons for requesting an EYLEA® replacement *: (Check the box(es) applicable to your request.)</w:t>
      </w:r>
    </w:p>
    <w:p>
      <w:pPr>
        <w:spacing w:after="40" w:before="0" w:line="240" w:lineRule="auto"/>
      </w:pPr>
      <w:r>
        <w:rPr>
          <w:rFonts w:ascii="Arial" w:hAnsi="Arial"/>
          <w:b/>
          <w:color w:val="000000"/>
          <w:sz w:val="20"/>
        </w:rPr>
        <w:t>In all cases: return of the affected product required for investigation is mandatory.</w:t>
      </w:r>
    </w:p>
    <w:p>
      <w:pPr>
        <w:keepNext/>
        <w:spacing w:after="40" w:before="80" w:line="240" w:lineRule="auto"/>
        <w:pBdr>
          <w:bottom w:val="single" w:sz="8" w:color="000000"/>
        </w:pBdr>
      </w:pPr>
      <w:r>
        <w:rPr>
          <w:rFonts w:ascii="Arial" w:hAnsi="Arial"/>
          <w:b/>
          <w:color w:val="000000"/>
          <w:sz w:val="22"/>
        </w:rPr>
        <w:t>I – Product quality complaint arising before the injection</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8960"/>
        <w:gridCol w:w="1680"/>
      </w:tblGrid>
      <w:tr>
        <w:trPr>
          <w:cantSplit/>
        </w:trPr>
        <w:tc>
          <w:tcPr>
            <w:tcW w:type="dxa" w:w="8960"/>
          </w:tcPr>
          <w:p>
            <w:pPr>
              <w:spacing w:after="0" w:before="0" w:line="240" w:lineRule="auto"/>
            </w:pPr>
            <w:r>
              <w:rPr>
                <w:rFonts w:ascii="Arial" w:hAnsi="Arial"/>
                <w:b w:val="0"/>
                <w:color w:val="000000"/>
                <w:sz w:val="20"/>
              </w:rPr>
              <w:t>(a) Low liquid level</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(b) Sterile blister pack open</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(c) Cloudy product or product containing particles</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(d) Missing component (specify)</w:t>
            </w:r>
          </w:p>
        </w:tc>
        <w:tc>
          <w:tcPr>
            <w:tcW w:type="dxa" w:w="1680"/>
          </w:tcPr>
          <w:p>
            <w:pPr>
              <w:spacing w:after="0" w:before="0" w:line="240" w:lineRule="auto"/>
            </w:pPr>
            <w:r>
              <w:rPr>
                <w:rFonts w:ascii="Arial" w:hAnsi="Arial"/>
                <w:b w:val="0"/>
                <w:color w:val="000000"/>
                <w:sz w:val="20"/>
              </w:rPr>
              <w:t>[ ]; Specification:</w:t>
            </w:r>
          </w:p>
        </w:tc>
      </w:tr>
      <w:tr>
        <w:trPr>
          <w:cantSplit/>
        </w:trPr>
        <w:tc>
          <w:tcPr>
            <w:tcW w:type="dxa" w:w="8960"/>
          </w:tcPr>
          <w:p>
            <w:pPr>
              <w:spacing w:after="0" w:before="0" w:line="240" w:lineRule="auto"/>
            </w:pPr>
            <w:r>
              <w:rPr>
                <w:rFonts w:ascii="Arial" w:hAnsi="Arial"/>
                <w:b w:val="0"/>
                <w:color w:val="000000"/>
                <w:sz w:val="20"/>
              </w:rPr>
              <w:t>(e) Damaged syringe/vial such that product sterility cannot be guaranteed (specify)</w:t>
            </w:r>
          </w:p>
        </w:tc>
        <w:tc>
          <w:tcPr>
            <w:tcW w:type="dxa" w:w="1680"/>
          </w:tcPr>
          <w:p>
            <w:pPr>
              <w:spacing w:after="0" w:before="0" w:line="240" w:lineRule="auto"/>
            </w:pPr>
            <w:r>
              <w:rPr>
                <w:rFonts w:ascii="Arial" w:hAnsi="Arial"/>
                <w:b w:val="0"/>
                <w:color w:val="000000"/>
                <w:sz w:val="20"/>
              </w:rPr>
              <w:t>[ ]; Specification:</w:t>
            </w:r>
          </w:p>
        </w:tc>
      </w:tr>
      <w:tr>
        <w:trPr>
          <w:cantSplit/>
        </w:trPr>
        <w:tc>
          <w:tcPr>
            <w:tcW w:type="dxa" w:w="8960"/>
          </w:tcPr>
          <w:p>
            <w:pPr>
              <w:spacing w:after="0" w:before="0" w:line="240" w:lineRule="auto"/>
            </w:pPr>
            <w:r>
              <w:rPr>
                <w:rFonts w:ascii="Arial" w:hAnsi="Arial"/>
                <w:b w:val="0"/>
                <w:color w:val="000000"/>
                <w:sz w:val="20"/>
              </w:rPr>
              <w:t>(f) Blocked needle</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(g) Syringe plunger jams</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(h) Syringe cap cannot be opened</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(i) Defect in the syringe's Luer Lock tip (specify)</w:t>
            </w:r>
          </w:p>
        </w:tc>
        <w:tc>
          <w:tcPr>
            <w:tcW w:type="dxa" w:w="1680"/>
          </w:tcPr>
          <w:p>
            <w:pPr>
              <w:spacing w:after="0" w:before="0" w:line="240" w:lineRule="auto"/>
            </w:pPr>
            <w:r>
              <w:rPr>
                <w:rFonts w:ascii="Arial" w:hAnsi="Arial"/>
                <w:b w:val="0"/>
                <w:color w:val="000000"/>
                <w:sz w:val="20"/>
              </w:rPr>
              <w:t>[ ]; Specification:</w:t>
            </w:r>
          </w:p>
        </w:tc>
      </w:tr>
      <w:tr>
        <w:trPr>
          <w:cantSplit/>
        </w:trPr>
        <w:tc>
          <w:tcPr>
            <w:tcW w:type="dxa" w:w="8960"/>
          </w:tcPr>
          <w:p>
            <w:pPr>
              <w:spacing w:after="0" w:before="0" w:line="240" w:lineRule="auto"/>
            </w:pPr>
            <w:r>
              <w:rPr>
                <w:rFonts w:ascii="Arial" w:hAnsi="Arial"/>
                <w:b w:val="0"/>
                <w:color w:val="000000"/>
                <w:sz w:val="20"/>
              </w:rPr>
              <w:t>Type of needle used and lot no. (if available)</w:t>
            </w:r>
          </w:p>
        </w:tc>
        <w:tc>
          <w:tcPr>
            <w:tcW w:type="dxa" w:w="1680"/>
          </w:tcPr>
          <w:p>
            <w:pPr>
              <w:spacing w:after="0" w:before="0" w:line="240" w:lineRule="auto"/>
            </w:pPr>
          </w:p>
        </w:tc>
      </w:tr>
      <w:tr>
        <w:trPr>
          <w:cantSplit/>
        </w:trPr>
        <w:tc>
          <w:tcPr>
            <w:tcW w:type="dxa" w:w="8960"/>
          </w:tcPr>
          <w:p>
            <w:pPr>
              <w:spacing w:after="0" w:before="0" w:line="240" w:lineRule="auto"/>
            </w:pPr>
            <w:r>
              <w:rPr>
                <w:rFonts w:ascii="Arial" w:hAnsi="Arial"/>
                <w:b w:val="0"/>
                <w:color w:val="000000"/>
                <w:sz w:val="20"/>
              </w:rPr>
              <w:t>(j) Dose marking on the syringe barely visible or not visible</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(k) Label printing problem or defect</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(l) Leaks, location (specify)</w:t>
            </w:r>
          </w:p>
        </w:tc>
        <w:tc>
          <w:tcPr>
            <w:tcW w:type="dxa" w:w="1680"/>
          </w:tcPr>
          <w:p>
            <w:pPr>
              <w:spacing w:after="0" w:before="0" w:line="240" w:lineRule="auto"/>
            </w:pPr>
            <w:r>
              <w:rPr>
                <w:rFonts w:ascii="Arial" w:hAnsi="Arial"/>
                <w:b w:val="0"/>
                <w:color w:val="000000"/>
                <w:sz w:val="20"/>
              </w:rPr>
              <w:t>[ ]; Location:</w:t>
            </w:r>
          </w:p>
        </w:tc>
      </w:tr>
      <w:tr>
        <w:trPr>
          <w:cantSplit/>
        </w:trPr>
        <w:tc>
          <w:tcPr>
            <w:tcW w:type="dxa" w:w="8960"/>
          </w:tcPr>
          <w:p>
            <w:pPr>
              <w:spacing w:after="0" w:before="0" w:line="240" w:lineRule="auto"/>
            </w:pPr>
            <w:r>
              <w:rPr>
                <w:rFonts w:ascii="Arial" w:hAnsi="Arial"/>
                <w:b w:val="0"/>
                <w:color w:val="000000"/>
                <w:sz w:val="20"/>
              </w:rPr>
              <w:t>(m) With occupational exposure to the product</w:t>
            </w:r>
          </w:p>
        </w:tc>
        <w:tc>
          <w:tcPr>
            <w:tcW w:type="dxa" w:w="1680"/>
          </w:tcPr>
          <w:p>
            <w:pPr>
              <w:spacing w:after="0" w:before="0" w:line="240" w:lineRule="auto"/>
            </w:pPr>
            <w:commentRangeStart w:id="15"/>
            <w:r>
              <w:rPr>
                <w:rFonts w:ascii="Arial" w:hAnsi="Arial"/>
                <w:b w:val="0"/>
                <w:color w:val="000000"/>
                <w:sz w:val="20"/>
              </w:rPr>
              <w:t>[ILLEGIBLE]</w:t>
            </w:r>
            <w:commentRangeEnd w:id="15"/>
            <w:r>
              <w:rPr>
                <w:rStyle w:val="CommentReference"/>
              </w:rPr>
              <w:commentReference w:id="15"/>
            </w:r>
          </w:p>
        </w:tc>
      </w:tr>
      <w:tr>
        <w:trPr>
          <w:cantSplit/>
        </w:trPr>
        <w:tc>
          <w:tcPr>
            <w:tcW w:type="dxa" w:w="8960"/>
          </w:tcPr>
          <w:p>
            <w:pPr>
              <w:spacing w:after="0" w:before="0" w:line="240" w:lineRule="auto"/>
            </w:pPr>
            <w:r>
              <w:rPr>
                <w:rFonts w:ascii="Arial" w:hAnsi="Arial"/>
                <w:b w:val="0"/>
                <w:color w:val="000000"/>
                <w:sz w:val="20"/>
              </w:rPr>
              <w:t>(n) Without occupational exposure to the product</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(o) Condensation/water found in the syringe blister pack upon opening</w:t>
            </w:r>
          </w:p>
        </w:tc>
        <w:tc>
          <w:tcPr>
            <w:tcW w:type="dxa" w:w="1680"/>
          </w:tcPr>
          <w:p>
            <w:pPr>
              <w:spacing w:after="0" w:before="0" w:line="240" w:lineRule="auto"/>
            </w:pPr>
            <w:commentRangeStart w:id="16"/>
            <w:r>
              <w:rPr>
                <w:rFonts w:ascii="Arial" w:hAnsi="Arial"/>
                <w:b w:val="0"/>
                <w:color w:val="1F3FA8"/>
                <w:sz w:val="20"/>
              </w:rPr>
              <w:t>[x]</w:t>
            </w:r>
            <w:commentRangeEnd w:id="16"/>
            <w:r>
              <w:rPr>
                <w:rStyle w:val="CommentReference"/>
              </w:rPr>
              <w:commentReference w:id="16"/>
            </w:r>
          </w:p>
        </w:tc>
      </w:tr>
      <w:tr>
        <w:trPr>
          <w:cantSplit/>
        </w:trPr>
        <w:tc>
          <w:tcPr>
            <w:tcW w:type="dxa" w:w="8960"/>
          </w:tcPr>
          <w:p>
            <w:pPr>
              <w:spacing w:after="0" w:before="0" w:line="240" w:lineRule="auto"/>
            </w:pPr>
            <w:r>
              <w:rPr>
                <w:rFonts w:ascii="Arial" w:hAnsi="Arial"/>
                <w:b w:val="0"/>
                <w:color w:val="000000"/>
                <w:sz w:val="20"/>
              </w:rPr>
              <w:t>(p) The prefilled syringe or vial was broken: Where? Was this a handling error?</w:t>
            </w:r>
          </w:p>
        </w:tc>
        <w:tc>
          <w:tcPr>
            <w:tcW w:type="dxa" w:w="1680"/>
          </w:tcPr>
          <w:p>
            <w:pPr>
              <w:spacing w:after="0" w:before="0" w:line="240" w:lineRule="auto"/>
            </w:pPr>
            <w:r>
              <w:rPr>
                <w:rFonts w:ascii="Arial" w:hAnsi="Arial"/>
                <w:b w:val="0"/>
                <w:color w:val="000000"/>
                <w:sz w:val="20"/>
              </w:rPr>
              <w:t>[ ]; Details:</w:t>
            </w:r>
          </w:p>
        </w:tc>
      </w:tr>
      <w:tr>
        <w:trPr>
          <w:cantSplit/>
        </w:trPr>
        <w:tc>
          <w:tcPr>
            <w:tcW w:type="dxa" w:w="8960"/>
          </w:tcPr>
          <w:p>
            <w:pPr>
              <w:spacing w:after="0" w:before="0" w:line="240" w:lineRule="auto"/>
            </w:pPr>
            <w:r>
              <w:rPr>
                <w:rFonts w:ascii="Arial" w:hAnsi="Arial"/>
                <w:b w:val="0"/>
                <w:color w:val="000000"/>
                <w:sz w:val="20"/>
              </w:rPr>
              <w:t>(q) With occupational exposure to the product</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(r) With a cut or injury following handling of the syringe/vial/packaging</w:t>
            </w:r>
          </w:p>
        </w:tc>
        <w:tc>
          <w:tcPr>
            <w:tcW w:type="dxa" w:w="1680"/>
          </w:tcPr>
          <w:p>
            <w:pPr>
              <w:spacing w:after="0" w:before="0" w:line="240" w:lineRule="auto"/>
            </w:pPr>
            <w:r>
              <w:rPr>
                <w:rFonts w:ascii="Arial" w:hAnsi="Arial"/>
                <w:b w:val="0"/>
                <w:color w:val="000000"/>
                <w:sz w:val="20"/>
              </w:rPr>
              <w:t>[ ]</w:t>
            </w:r>
          </w:p>
        </w:tc>
      </w:tr>
      <w:tr>
        <w:trPr>
          <w:cantSplit/>
        </w:trPr>
        <w:tc>
          <w:tcPr>
            <w:tcW w:type="dxa" w:w="8960"/>
          </w:tcPr>
          <w:p>
            <w:pPr>
              <w:spacing w:after="0" w:before="0" w:line="240" w:lineRule="auto"/>
            </w:pPr>
            <w:r>
              <w:rPr>
                <w:rFonts w:ascii="Arial" w:hAnsi="Arial"/>
                <w:b w:val="0"/>
                <w:color w:val="000000"/>
                <w:sz w:val="20"/>
              </w:rPr>
              <w:t>(s) Without any of the above consequences</w:t>
            </w:r>
          </w:p>
        </w:tc>
        <w:tc>
          <w:tcPr>
            <w:tcW w:type="dxa" w:w="1680"/>
          </w:tcPr>
          <w:p>
            <w:pPr>
              <w:spacing w:after="0" w:before="0" w:line="240" w:lineRule="auto"/>
            </w:pPr>
            <w:r>
              <w:rPr>
                <w:rFonts w:ascii="Arial" w:hAnsi="Arial"/>
                <w:b w:val="0"/>
                <w:color w:val="000000"/>
                <w:sz w:val="20"/>
              </w:rPr>
              <w:t>[ ]</w:t>
            </w:r>
          </w:p>
        </w:tc>
      </w:tr>
      <w:tr>
        <w:trPr>
          <w:cantSplit/>
        </w:trPr>
        <w:tc>
          <w:tcPr>
            <w:tcW w:type="dxa" w:w="10640"/>
            <w:gridSpan w:val="2"/>
          </w:tcPr>
          <w:p>
            <w:pPr>
              <w:spacing w:after="0" w:before="0" w:line="240" w:lineRule="auto"/>
            </w:pPr>
            <w:r>
              <w:rPr>
                <w:rFonts w:ascii="Arial" w:hAnsi="Arial"/>
                <w:b w:val="0"/>
                <w:color w:val="000000"/>
                <w:sz w:val="20"/>
              </w:rPr>
              <w:t>Complaint description</w:t>
            </w:r>
            <w:r>
              <w:t xml:space="preserve">: </w:t>
            </w:r>
            <w:commentRangeStart w:id="17"/>
            <w:r>
              <w:rPr>
                <w:rFonts w:ascii="Arial" w:hAnsi="Arial"/>
                <w:b w:val="0"/>
                <w:color w:val="1F3FA8"/>
                <w:sz w:val="20"/>
              </w:rPr>
              <w:t>Condensation/water in packaging before opening</w:t>
            </w:r>
            <w:commentRangeEnd w:id="17"/>
            <w:r>
              <w:rPr>
                <w:rStyle w:val="CommentReference"/>
              </w:rPr>
              <w:commentReference w:id="17"/>
            </w:r>
          </w:p>
        </w:tc>
      </w:tr>
    </w:tbl>
    <w:p>
      <w:pPr>
        <w:keepNext/>
        <w:spacing w:after="40" w:before="80" w:line="240" w:lineRule="auto"/>
        <w:pBdr>
          <w:bottom w:val="single" w:sz="8" w:color="000000"/>
        </w:pBdr>
      </w:pPr>
      <w:r>
        <w:rPr>
          <w:rFonts w:ascii="Arial" w:hAnsi="Arial"/>
          <w:b/>
          <w:color w:val="000000"/>
          <w:sz w:val="22"/>
        </w:rPr>
        <w:t>II – Use problem arising before the injection</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8960"/>
        <w:gridCol w:w="1680"/>
      </w:tblGrid>
      <w:tr>
        <w:trPr>
          <w:cantSplit/>
        </w:trPr>
        <w:tc>
          <w:tcPr>
            <w:tcW w:type="dxa" w:w="8960"/>
          </w:tcPr>
          <w:p>
            <w:pPr>
              <w:spacing w:after="0" w:before="0" w:line="240" w:lineRule="auto"/>
            </w:pPr>
            <w:r>
              <w:rPr>
                <w:rFonts w:ascii="Arial" w:hAnsi="Arial"/>
                <w:b w:val="0"/>
                <w:color w:val="000000"/>
                <w:sz w:val="20"/>
              </w:rPr>
              <w:t>(a) Concerns about product storage (break in the cold chain &gt; 24 h, or any exposure below +2°C or above +25°C)</w:t>
            </w:r>
          </w:p>
        </w:tc>
        <w:tc>
          <w:tcPr>
            <w:tcW w:type="dxa" w:w="1680"/>
          </w:tcPr>
          <w:p>
            <w:pPr>
              <w:spacing w:after="0" w:before="0" w:line="240" w:lineRule="auto"/>
            </w:pPr>
            <w:commentRangeStart w:id="18"/>
            <w:r>
              <w:rPr>
                <w:rFonts w:ascii="Arial" w:hAnsi="Arial"/>
                <w:b w:val="0"/>
                <w:color w:val="1F3FA8"/>
                <w:sz w:val="20"/>
              </w:rPr>
              <w:t>[x]</w:t>
            </w:r>
            <w:commentRangeEnd w:id="18"/>
            <w:r>
              <w:rPr>
                <w:rStyle w:val="CommentReference"/>
              </w:rPr>
              <w:commentReference w:id="18"/>
            </w:r>
          </w:p>
        </w:tc>
      </w:tr>
      <w:tr>
        <w:trPr>
          <w:cantSplit/>
        </w:trPr>
        <w:tc>
          <w:tcPr>
            <w:tcW w:type="dxa" w:w="8960"/>
          </w:tcPr>
          <w:p>
            <w:pPr>
              <w:spacing w:after="0" w:before="0" w:line="240" w:lineRule="auto"/>
            </w:pPr>
            <w:r>
              <w:rPr>
                <w:rFonts w:ascii="Arial" w:hAnsi="Arial"/>
                <w:b w:val="0"/>
                <w:color w:val="000000"/>
                <w:sz w:val="20"/>
              </w:rPr>
              <w:t>(b) Contamination of EYLEA® before the injection (contact with a nonsterile surface)</w:t>
            </w:r>
          </w:p>
        </w:tc>
        <w:tc>
          <w:tcPr>
            <w:tcW w:type="dxa" w:w="1680"/>
          </w:tcPr>
          <w:p>
            <w:pPr>
              <w:spacing w:after="0" w:before="0" w:line="240" w:lineRule="auto"/>
            </w:pPr>
            <w:r>
              <w:rPr>
                <w:rFonts w:ascii="Arial" w:hAnsi="Arial"/>
                <w:b w:val="0"/>
                <w:color w:val="000000"/>
                <w:sz w:val="20"/>
              </w:rPr>
              <w:t>[ ]</w:t>
            </w:r>
          </w:p>
        </w:tc>
      </w:tr>
    </w:tbl>
    <w:p>
      <w:pPr>
        <w:spacing w:after="40" w:before="0" w:line="240" w:lineRule="auto"/>
      </w:pPr>
      <w:r>
        <w:rPr>
          <w:rFonts w:ascii="Arial" w:hAnsi="Arial"/>
          <w:b/>
          <w:color w:val="000000"/>
          <w:sz w:val="20"/>
        </w:rPr>
        <w:t>Any situation arising during or after the injection is not eligible for a replacement request.</w:t>
      </w:r>
    </w:p>
    <w:p>
      <w:r>
        <w:br w:type="page"/>
      </w:r>
    </w:p>
    <w:p>
      <w:pPr>
        <w:keepNext/>
        <w:spacing w:after="40" w:before="80" w:line="240" w:lineRule="auto"/>
        <w:pBdr>
          <w:bottom w:val="single" w:sz="8" w:color="000000"/>
        </w:pBdr>
      </w:pPr>
      <w:r>
        <w:rPr>
          <w:rFonts w:ascii="Arial" w:hAnsi="Arial"/>
          <w:b/>
          <w:color w:val="000000"/>
          <w:sz w:val="22"/>
        </w:rPr>
        <w:t>SECTION 3</w:t>
      </w:r>
    </w:p>
    <w:p>
      <w:pPr>
        <w:spacing w:after="40" w:before="0" w:line="240" w:lineRule="auto"/>
      </w:pPr>
      <w:r>
        <w:rPr>
          <w:rFonts w:ascii="Arial" w:hAnsi="Arial"/>
          <w:b w:val="0"/>
          <w:color w:val="000000"/>
          <w:sz w:val="20"/>
        </w:rPr>
        <w:t>By signing below, I certify the accuracy of the information provided; I acknowledge and agree that I have requested an EYLEA® replacement (aflibercept-based solution for injection (intravitreal injection)) solely on the basis described above and that treatment with EYLEA® remains appropriate for the patient. I agree to receive an EYLEA® prefilled syringe as a replacement for the vial or prefilled syringe that was not administered.</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7300"/>
        <w:gridCol w:w="3340"/>
      </w:tblGrid>
      <w:tr>
        <w:trPr>
          <w:cantSplit/>
        </w:trPr>
        <w:tc>
          <w:tcPr>
            <w:tcW w:type="dxa" w:w="7300"/>
          </w:tcPr>
          <w:p>
            <w:pPr>
              <w:spacing w:after="0" w:before="0" w:line="240" w:lineRule="auto"/>
            </w:pPr>
            <w:r>
              <w:rPr>
                <w:rFonts w:ascii="Arial" w:hAnsi="Arial"/>
                <w:b w:val="0"/>
                <w:color w:val="000000"/>
                <w:sz w:val="20"/>
              </w:rPr>
              <w:t>Required signature of the healthcare professional *</w:t>
            </w:r>
          </w:p>
        </w:tc>
        <w:tc>
          <w:tcPr>
            <w:tcW w:type="dxa" w:w="3340"/>
          </w:tcPr>
          <w:p>
            <w:pPr>
              <w:spacing w:after="0" w:before="0" w:line="240" w:lineRule="auto"/>
            </w:pPr>
            <w:commentRangeStart w:id="19"/>
            <w:r>
              <w:rPr>
                <w:rFonts w:ascii="Arial" w:hAnsi="Arial"/>
                <w:b w:val="0"/>
                <w:color w:val="1F3FA8"/>
                <w:sz w:val="20"/>
              </w:rPr>
              <w:t>[ILLEGIBLE]</w:t>
            </w:r>
            <w:commentRangeEnd w:id="19"/>
            <w:r>
              <w:rPr>
                <w:rStyle w:val="CommentReference"/>
              </w:rPr>
              <w:commentReference w:id="19"/>
            </w:r>
          </w:p>
        </w:tc>
      </w:tr>
      <w:tr>
        <w:trPr>
          <w:cantSplit/>
        </w:trPr>
        <w:tc>
          <w:tcPr>
            <w:tcW w:type="dxa" w:w="7300"/>
          </w:tcPr>
          <w:p>
            <w:pPr>
              <w:spacing w:after="0" w:before="0" w:line="240" w:lineRule="auto"/>
            </w:pPr>
            <w:r>
              <w:rPr>
                <w:rFonts w:ascii="Arial" w:hAnsi="Arial"/>
                <w:b w:val="0"/>
                <w:color w:val="000000"/>
                <w:sz w:val="20"/>
              </w:rPr>
              <w:t>Date * (DD/MM/YYYY)</w:t>
            </w:r>
          </w:p>
        </w:tc>
        <w:tc>
          <w:tcPr>
            <w:tcW w:type="dxa" w:w="3340"/>
          </w:tcPr>
          <w:p>
            <w:pPr>
              <w:spacing w:after="0" w:before="0" w:line="240" w:lineRule="auto"/>
            </w:pPr>
            <w:commentRangeStart w:id="20"/>
            <w:r>
              <w:rPr>
                <w:rFonts w:ascii="Arial" w:hAnsi="Arial"/>
                <w:b w:val="0"/>
                <w:color w:val="1F3FA8"/>
                <w:sz w:val="20"/>
              </w:rPr>
              <w:t>21/04/2026</w:t>
            </w:r>
            <w:commentRangeEnd w:id="20"/>
            <w:r>
              <w:rPr>
                <w:rStyle w:val="CommentReference"/>
              </w:rPr>
              <w:commentReference w:id="20"/>
            </w:r>
          </w:p>
        </w:tc>
      </w:tr>
    </w:tbl>
    <w:p>
      <w:pPr>
        <w:spacing w:after="40" w:before="0" w:line="240" w:lineRule="auto"/>
      </w:pPr>
      <w:r>
        <w:rPr>
          <w:rFonts w:ascii="Arial" w:hAnsi="Arial"/>
          <w:b w:val="0"/>
          <w:color w:val="000000"/>
          <w:sz w:val="20"/>
        </w:rPr>
        <w:t>"The information collected is subject to computerized processing and is intended for UNIVERSAL MEDICA, which we have entrusted with managing requests for replacement of [EYLEA®]. Your data will be retained for the duration of the replacement operation, then (archived for 10 years and deleted). In accordance with the amended French Data Protection Act of January 6, 1978, and the General Data Protection Regulation of April 27, 2016, you have the right to access, rectify, restrict, and object to the processing of your data on legitimate grounds by sending your request to BAYER HEALTHCARE SAS, Data Protection Officer, Legal Department, 10 Place de Belgique, BP 103, 92254 La Garenne Colombes cedex. If, after contacting Bayer, you believe your rights are not being respected, you may submit a complaint to the CNIL."</w:t>
      </w:r>
    </w:p>
    <w:p>
      <w:pPr>
        <w:keepNext/>
        <w:spacing w:after="40" w:before="80" w:line="240" w:lineRule="auto"/>
        <w:pBdr>
          <w:bottom w:val="single" w:sz="8" w:color="000000"/>
        </w:pBdr>
      </w:pPr>
      <w:r>
        <w:rPr>
          <w:rFonts w:ascii="Arial" w:hAnsi="Arial"/>
          <w:b/>
          <w:color w:val="000000"/>
          <w:sz w:val="22"/>
        </w:rPr>
        <w:t>INTERNAL USE</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5800"/>
        <w:gridCol w:w="4840"/>
      </w:tblGrid>
      <w:tr>
        <w:trPr>
          <w:cantSplit/>
        </w:trPr>
        <w:tc>
          <w:tcPr>
            <w:tcW w:type="dxa" w:w="5800"/>
          </w:tcPr>
          <w:p>
            <w:pPr>
              <w:spacing w:after="0" w:before="0" w:line="240" w:lineRule="auto"/>
            </w:pPr>
            <w:r>
              <w:rPr>
                <w:rFonts w:ascii="Arial" w:hAnsi="Arial"/>
                <w:b w:val="0"/>
                <w:color w:val="000000"/>
                <w:sz w:val="20"/>
              </w:rPr>
              <w:t>Date received</w:t>
            </w:r>
          </w:p>
        </w:tc>
        <w:tc>
          <w:tcPr>
            <w:tcW w:type="dxa" w:w="4840"/>
          </w:tcPr>
          <w:p>
            <w:pPr>
              <w:spacing w:after="0" w:before="0" w:line="240" w:lineRule="auto"/>
            </w:pPr>
            <w:r>
              <w:rPr>
                <w:rFonts w:ascii="Arial" w:hAnsi="Arial"/>
                <w:b w:val="0"/>
                <w:color w:val="000000"/>
                <w:sz w:val="20"/>
              </w:rPr>
              <w:t>21/04/2026</w:t>
            </w:r>
          </w:p>
        </w:tc>
      </w:tr>
      <w:tr>
        <w:trPr>
          <w:cantSplit/>
        </w:trPr>
        <w:tc>
          <w:tcPr>
            <w:tcW w:type="dxa" w:w="5800"/>
          </w:tcPr>
          <w:p>
            <w:pPr>
              <w:spacing w:after="0" w:before="0" w:line="240" w:lineRule="auto"/>
            </w:pPr>
            <w:r>
              <w:rPr>
                <w:rFonts w:ascii="Arial" w:hAnsi="Arial"/>
                <w:b w:val="0"/>
                <w:color w:val="000000"/>
                <w:sz w:val="20"/>
              </w:rPr>
              <w:t>Service provider registration no.</w:t>
            </w:r>
          </w:p>
        </w:tc>
        <w:tc>
          <w:tcPr>
            <w:tcW w:type="dxa" w:w="4840"/>
          </w:tcPr>
          <w:p>
            <w:pPr>
              <w:spacing w:after="0" w:before="0" w:line="240" w:lineRule="auto"/>
            </w:pPr>
            <w:r>
              <w:rPr>
                <w:rFonts w:ascii="Arial" w:hAnsi="Arial"/>
                <w:b w:val="0"/>
                <w:color w:val="000000"/>
                <w:sz w:val="20"/>
              </w:rPr>
              <w:t>CRS-20260421-97-1</w:t>
            </w:r>
          </w:p>
        </w:tc>
      </w:tr>
      <w:tr>
        <w:trPr>
          <w:cantSplit/>
        </w:trPr>
        <w:tc>
          <w:tcPr>
            <w:tcW w:type="dxa" w:w="5800"/>
          </w:tcPr>
          <w:p>
            <w:pPr>
              <w:spacing w:after="0" w:before="0" w:line="240" w:lineRule="auto"/>
            </w:pPr>
            <w:r>
              <w:rPr>
                <w:rFonts w:ascii="Arial" w:hAnsi="Arial"/>
                <w:b w:val="0"/>
                <w:color w:val="000000"/>
                <w:sz w:val="20"/>
              </w:rPr>
              <w:t>Category</w:t>
            </w:r>
          </w:p>
        </w:tc>
        <w:tc>
          <w:tcPr>
            <w:tcW w:type="dxa" w:w="4840"/>
          </w:tcPr>
          <w:p>
            <w:pPr>
              <w:spacing w:after="0" w:before="0" w:line="240" w:lineRule="auto"/>
            </w:pPr>
            <w:r>
              <w:rPr>
                <w:rFonts w:ascii="Arial" w:hAnsi="Arial"/>
                <w:b w:val="0"/>
                <w:color w:val="000000"/>
                <w:sz w:val="20"/>
              </w:rPr>
              <w:t>I [x]; II [ ]</w:t>
            </w:r>
          </w:p>
        </w:tc>
      </w:tr>
      <w:tr>
        <w:trPr>
          <w:cantSplit/>
        </w:trPr>
        <w:tc>
          <w:tcPr>
            <w:tcW w:type="dxa" w:w="5800"/>
          </w:tcPr>
          <w:p>
            <w:pPr>
              <w:spacing w:after="0" w:before="0" w:line="240" w:lineRule="auto"/>
            </w:pPr>
            <w:r>
              <w:rPr>
                <w:rFonts w:ascii="Arial" w:hAnsi="Arial"/>
                <w:b w:val="0"/>
                <w:color w:val="000000"/>
                <w:sz w:val="20"/>
              </w:rPr>
              <w:t>Code</w:t>
            </w:r>
          </w:p>
        </w:tc>
        <w:tc>
          <w:tcPr>
            <w:tcW w:type="dxa" w:w="4840"/>
          </w:tcPr>
          <w:p>
            <w:pPr>
              <w:spacing w:after="0" w:before="0" w:line="240" w:lineRule="auto"/>
            </w:pPr>
            <w:r>
              <w:rPr>
                <w:rFonts w:ascii="Arial" w:hAnsi="Arial"/>
                <w:b w:val="0"/>
                <w:color w:val="000000"/>
                <w:sz w:val="20"/>
              </w:rPr>
              <w:t>o</w:t>
            </w:r>
          </w:p>
        </w:tc>
      </w:tr>
      <w:tr>
        <w:trPr>
          <w:cantSplit/>
        </w:trPr>
        <w:tc>
          <w:tcPr>
            <w:tcW w:type="dxa" w:w="5800"/>
          </w:tcPr>
          <w:p>
            <w:pPr>
              <w:spacing w:after="0" w:before="0" w:line="240" w:lineRule="auto"/>
            </w:pPr>
            <w:r>
              <w:rPr>
                <w:rFonts w:ascii="Arial" w:hAnsi="Arial"/>
                <w:b w:val="0"/>
                <w:color w:val="000000"/>
                <w:sz w:val="20"/>
              </w:rPr>
              <w:t>Approved on (date)</w:t>
            </w:r>
          </w:p>
        </w:tc>
        <w:tc>
          <w:tcPr>
            <w:tcW w:type="dxa" w:w="4840"/>
          </w:tcPr>
          <w:p>
            <w:pPr>
              <w:spacing w:after="0" w:before="0" w:line="240" w:lineRule="auto"/>
            </w:pPr>
            <w:r>
              <w:rPr>
                <w:rFonts w:ascii="Arial" w:hAnsi="Arial"/>
                <w:b w:val="0"/>
                <w:color w:val="000000"/>
                <w:sz w:val="20"/>
              </w:rPr>
              <w:t>[x] 21/04/2026</w:t>
            </w:r>
          </w:p>
        </w:tc>
      </w:tr>
      <w:tr>
        <w:trPr>
          <w:cantSplit/>
        </w:trPr>
        <w:tc>
          <w:tcPr>
            <w:tcW w:type="dxa" w:w="5800"/>
          </w:tcPr>
          <w:p>
            <w:pPr>
              <w:spacing w:after="0" w:before="0" w:line="240" w:lineRule="auto"/>
            </w:pPr>
            <w:r>
              <w:rPr>
                <w:rFonts w:ascii="Arial" w:hAnsi="Arial"/>
                <w:b w:val="0"/>
                <w:color w:val="000000"/>
                <w:sz w:val="20"/>
              </w:rPr>
              <w:t>Refused on (date)</w:t>
            </w:r>
          </w:p>
        </w:tc>
        <w:tc>
          <w:tcPr>
            <w:tcW w:type="dxa" w:w="4840"/>
          </w:tcPr>
          <w:p>
            <w:pPr>
              <w:spacing w:after="0" w:before="0" w:line="240" w:lineRule="auto"/>
            </w:pPr>
            <w:r>
              <w:rPr>
                <w:rFonts w:ascii="Arial" w:hAnsi="Arial"/>
                <w:b w:val="0"/>
                <w:color w:val="000000"/>
                <w:sz w:val="20"/>
              </w:rPr>
              <w:t>[ ]</w:t>
            </w:r>
          </w:p>
        </w:tc>
      </w:tr>
      <w:tr>
        <w:trPr>
          <w:cantSplit/>
        </w:trPr>
        <w:tc>
          <w:tcPr>
            <w:tcW w:type="dxa" w:w="5800"/>
          </w:tcPr>
          <w:p>
            <w:pPr>
              <w:spacing w:after="0" w:before="0" w:line="240" w:lineRule="auto"/>
            </w:pPr>
            <w:r>
              <w:rPr>
                <w:rFonts w:ascii="Arial" w:hAnsi="Arial"/>
                <w:b w:val="0"/>
                <w:color w:val="000000"/>
                <w:sz w:val="20"/>
              </w:rPr>
              <w:t>Transmitted PV on (date)</w:t>
            </w:r>
          </w:p>
        </w:tc>
        <w:tc>
          <w:tcPr>
            <w:tcW w:type="dxa" w:w="4840"/>
          </w:tcPr>
          <w:p>
            <w:pPr>
              <w:spacing w:after="0" w:before="0" w:line="240" w:lineRule="auto"/>
            </w:pPr>
            <w:r>
              <w:rPr>
                <w:rFonts w:ascii="Arial" w:hAnsi="Arial"/>
                <w:b w:val="0"/>
                <w:color w:val="000000"/>
                <w:sz w:val="20"/>
              </w:rPr>
              <w:t>[ ]</w:t>
            </w:r>
          </w:p>
        </w:tc>
      </w:tr>
      <w:tr>
        <w:trPr>
          <w:cantSplit/>
        </w:trPr>
        <w:tc>
          <w:tcPr>
            <w:tcW w:type="dxa" w:w="5800"/>
          </w:tcPr>
          <w:p>
            <w:pPr>
              <w:spacing w:after="0" w:before="0" w:line="240" w:lineRule="auto"/>
            </w:pPr>
            <w:r>
              <w:rPr>
                <w:rFonts w:ascii="Arial" w:hAnsi="Arial"/>
                <w:b w:val="0"/>
                <w:color w:val="000000"/>
                <w:sz w:val="20"/>
              </w:rPr>
              <w:t>Transmitted AQ on (date)</w:t>
            </w:r>
          </w:p>
        </w:tc>
        <w:tc>
          <w:tcPr>
            <w:tcW w:type="dxa" w:w="4840"/>
          </w:tcPr>
          <w:p>
            <w:pPr>
              <w:spacing w:after="0" w:before="0" w:line="240" w:lineRule="auto"/>
            </w:pPr>
            <w:r>
              <w:rPr>
                <w:rFonts w:ascii="Arial" w:hAnsi="Arial"/>
                <w:b w:val="0"/>
                <w:color w:val="000000"/>
                <w:sz w:val="20"/>
              </w:rPr>
              <w:t>[x] 21/04/2026</w:t>
            </w:r>
          </w:p>
        </w:tc>
      </w:tr>
      <w:tr>
        <w:trPr>
          <w:cantSplit/>
        </w:trPr>
        <w:tc>
          <w:tcPr>
            <w:tcW w:type="dxa" w:w="5800"/>
          </w:tcPr>
          <w:p>
            <w:pPr>
              <w:spacing w:after="0" w:before="0" w:line="240" w:lineRule="auto"/>
            </w:pPr>
            <w:r>
              <w:rPr>
                <w:rFonts w:ascii="Arial" w:hAnsi="Arial"/>
                <w:b w:val="0"/>
                <w:color w:val="000000"/>
                <w:sz w:val="20"/>
              </w:rPr>
              <w:t>Letter requesting return of the device sent (date)</w:t>
            </w:r>
          </w:p>
        </w:tc>
        <w:tc>
          <w:tcPr>
            <w:tcW w:type="dxa" w:w="4840"/>
          </w:tcPr>
          <w:p>
            <w:pPr>
              <w:spacing w:after="0" w:before="0" w:line="240" w:lineRule="auto"/>
            </w:pPr>
            <w:r>
              <w:rPr>
                <w:rFonts w:ascii="Arial" w:hAnsi="Arial"/>
                <w:b w:val="0"/>
                <w:color w:val="000000"/>
                <w:sz w:val="20"/>
              </w:rPr>
              <w:t>[x] 21/04/2026</w:t>
            </w:r>
          </w:p>
        </w:tc>
      </w:tr>
      <w:tr>
        <w:trPr>
          <w:cantSplit/>
        </w:trPr>
        <w:tc>
          <w:tcPr>
            <w:tcW w:type="dxa" w:w="5800"/>
          </w:tcPr>
          <w:p>
            <w:pPr>
              <w:spacing w:after="0" w:before="0" w:line="240" w:lineRule="auto"/>
            </w:pPr>
            <w:r>
              <w:rPr>
                <w:rFonts w:ascii="Arial" w:hAnsi="Arial"/>
                <w:b w:val="0"/>
                <w:color w:val="000000"/>
                <w:sz w:val="20"/>
              </w:rPr>
              <w:t>Follow-ups initiated</w:t>
            </w:r>
          </w:p>
        </w:tc>
        <w:tc>
          <w:tcPr>
            <w:tcW w:type="dxa" w:w="4840"/>
          </w:tcPr>
          <w:p>
            <w:pPr>
              <w:spacing w:after="0" w:before="0" w:line="240" w:lineRule="auto"/>
            </w:pPr>
            <w:r>
              <w:rPr>
                <w:rFonts w:ascii="Arial" w:hAnsi="Arial"/>
                <w:b w:val="0"/>
                <w:color w:val="000000"/>
                <w:sz w:val="20"/>
              </w:rPr>
              <w:t>[x] 21/04/2026</w:t>
            </w:r>
          </w:p>
        </w:tc>
      </w:tr>
    </w:tbl>
    <w:p>
      <w:pPr>
        <w:keepNext/>
        <w:spacing w:after="40" w:before="80" w:line="240" w:lineRule="auto"/>
        <w:pBdr>
          <w:bottom w:val="single" w:sz="8" w:color="000000"/>
        </w:pBdr>
      </w:pPr>
      <w:r>
        <w:rPr>
          <w:rFonts w:ascii="Arial" w:hAnsi="Arial"/>
          <w:b/>
          <w:color w:val="000000"/>
          <w:sz w:val="22"/>
        </w:rPr>
        <w:t>HEALTHCARE PROFESSIONAL FOLLOW-UP if the form is incomplete or the sample has not been returned</w:t>
      </w:r>
    </w:p>
    <w:tbl>
      <w:tblPr>
        <w:tblStyle w:val="TableGrid"/>
        <w:tblW w:type="auto" w:w="0"/>
        <w:tblLayout w:type="fixed"/>
        <w:tblLook w:firstColumn="1" w:firstRow="1" w:lastColumn="0" w:lastRow="0" w:noHBand="0" w:noVBand="1" w:val="04A0"/>
        <w:tblCellMar>
          <w:top w:w="25" w:type="dxa"/>
          <w:left w:w="55" w:type="dxa"/>
          <w:bottom w:w="25" w:type="dxa"/>
          <w:right w:w="55" w:type="dxa"/>
        </w:tblCellMar>
      </w:tblPr>
      <w:tblGrid>
        <w:gridCol w:w="4400"/>
        <w:gridCol w:w="6240"/>
      </w:tblGrid>
      <w:tr>
        <w:trPr>
          <w:cantSplit/>
        </w:trPr>
        <w:tc>
          <w:tcPr>
            <w:tcW w:type="dxa" w:w="4400"/>
          </w:tcPr>
          <w:p>
            <w:pPr>
              <w:spacing w:after="0" w:before="0" w:line="240" w:lineRule="auto"/>
            </w:pPr>
            <w:r>
              <w:rPr>
                <w:rFonts w:ascii="Arial" w:hAnsi="Arial"/>
                <w:b w:val="0"/>
                <w:color w:val="000000"/>
                <w:sz w:val="20"/>
              </w:rPr>
              <w:t>Follow-up date 1</w:t>
            </w:r>
          </w:p>
        </w:tc>
        <w:tc>
          <w:tcPr>
            <w:tcW w:type="dxa" w:w="6240"/>
          </w:tcPr>
          <w:p>
            <w:pPr>
              <w:spacing w:after="0" w:before="0" w:line="240" w:lineRule="auto"/>
            </w:pPr>
            <w:r>
              <w:rPr>
                <w:rFonts w:ascii="Arial" w:hAnsi="Arial"/>
                <w:b w:val="0"/>
                <w:color w:val="000000"/>
                <w:sz w:val="20"/>
              </w:rPr>
              <w:t>21/04/2026</w:t>
            </w:r>
          </w:p>
        </w:tc>
      </w:tr>
      <w:tr>
        <w:trPr>
          <w:cantSplit/>
        </w:trPr>
        <w:tc>
          <w:tcPr>
            <w:tcW w:type="dxa" w:w="4400"/>
          </w:tcPr>
          <w:p>
            <w:pPr>
              <w:spacing w:after="0" w:before="0" w:line="240" w:lineRule="auto"/>
            </w:pPr>
            <w:r>
              <w:rPr>
                <w:rFonts w:ascii="Arial" w:hAnsi="Arial"/>
                <w:b w:val="0"/>
                <w:color w:val="000000"/>
                <w:sz w:val="20"/>
              </w:rPr>
              <w:t>Follow-up reason 1</w:t>
            </w:r>
          </w:p>
        </w:tc>
        <w:tc>
          <w:tcPr>
            <w:tcW w:type="dxa" w:w="6240"/>
          </w:tcPr>
          <w:p>
            <w:pPr>
              <w:spacing w:after="0" w:before="0" w:line="240" w:lineRule="auto"/>
            </w:pPr>
            <w:r>
              <w:rPr>
                <w:rFonts w:ascii="Arial" w:hAnsi="Arial"/>
                <w:b w:val="0"/>
                <w:color w:val="000000"/>
                <w:sz w:val="20"/>
              </w:rPr>
              <w:t>follow-up regarding product availability, reasons checked and</w:t>
            </w:r>
          </w:p>
        </w:tc>
      </w:tr>
      <w:tr>
        <w:trPr>
          <w:cantSplit/>
        </w:trPr>
        <w:tc>
          <w:tcPr>
            <w:tcW w:type="dxa" w:w="4400"/>
          </w:tcPr>
          <w:p>
            <w:pPr>
              <w:spacing w:after="0" w:before="0" w:line="240" w:lineRule="auto"/>
            </w:pPr>
            <w:r>
              <w:rPr>
                <w:rFonts w:ascii="Arial" w:hAnsi="Arial"/>
                <w:b w:val="0"/>
                <w:color w:val="000000"/>
                <w:sz w:val="20"/>
              </w:rPr>
              <w:t>Follow-up date 2</w:t>
            </w:r>
          </w:p>
        </w:tc>
        <w:tc>
          <w:tcPr>
            <w:tcW w:type="dxa" w:w="6240"/>
          </w:tcPr>
          <w:p>
            <w:pPr>
              <w:spacing w:after="0" w:before="0" w:line="240" w:lineRule="auto"/>
            </w:pPr>
          </w:p>
        </w:tc>
      </w:tr>
      <w:tr>
        <w:trPr>
          <w:cantSplit/>
        </w:trPr>
        <w:tc>
          <w:tcPr>
            <w:tcW w:type="dxa" w:w="4400"/>
          </w:tcPr>
          <w:p>
            <w:pPr>
              <w:spacing w:after="0" w:before="0" w:line="240" w:lineRule="auto"/>
            </w:pPr>
            <w:r>
              <w:rPr>
                <w:rFonts w:ascii="Arial" w:hAnsi="Arial"/>
                <w:b w:val="0"/>
                <w:color w:val="000000"/>
                <w:sz w:val="20"/>
              </w:rPr>
              <w:t>Follow-up reason 2</w:t>
            </w:r>
          </w:p>
        </w:tc>
        <w:tc>
          <w:tcPr>
            <w:tcW w:type="dxa" w:w="6240"/>
          </w:tcPr>
          <w:p>
            <w:pPr>
              <w:spacing w:after="0" w:before="0" w:line="240" w:lineRule="auto"/>
            </w:pPr>
            <w:r>
              <w:rPr>
                <w:rFonts w:ascii="Arial" w:hAnsi="Arial"/>
                <w:b w:val="0"/>
                <w:color w:val="000000"/>
                <w:sz w:val="20"/>
              </w:rPr>
              <w:t>dosage form</w:t>
            </w:r>
          </w:p>
        </w:tc>
      </w:tr>
      <w:tr>
        <w:trPr>
          <w:cantSplit/>
        </w:trPr>
        <w:tc>
          <w:tcPr>
            <w:tcW w:type="dxa" w:w="4400"/>
          </w:tcPr>
          <w:p>
            <w:pPr>
              <w:spacing w:after="0" w:before="0" w:line="240" w:lineRule="auto"/>
            </w:pPr>
            <w:r>
              <w:rPr>
                <w:rFonts w:ascii="Arial" w:hAnsi="Arial"/>
                <w:b w:val="0"/>
                <w:color w:val="000000"/>
                <w:sz w:val="20"/>
              </w:rPr>
              <w:t>Addition and/or modification requested by the healthcare professional</w:t>
            </w:r>
          </w:p>
        </w:tc>
        <w:tc>
          <w:tcPr>
            <w:tcW w:type="dxa" w:w="6240"/>
          </w:tcPr>
          <w:p>
            <w:pPr>
              <w:spacing w:after="0" w:before="0" w:line="240" w:lineRule="auto"/>
            </w:pPr>
            <w:r>
              <w:rPr>
                <w:rFonts w:ascii="Arial" w:hAnsi="Arial"/>
                <w:b w:val="0"/>
                <w:color w:val="000000"/>
                <w:sz w:val="20"/>
              </w:rPr>
              <w:t>the office staff indicate that the SPR is available and that there has been no break in the cold chain</w:t>
            </w:r>
          </w:p>
        </w:tc>
      </w:tr>
      <w:tr>
        <w:trPr>
          <w:cantSplit/>
        </w:trPr>
        <w:tc>
          <w:tcPr>
            <w:tcW w:type="dxa" w:w="4400"/>
          </w:tcPr>
          <w:p>
            <w:pPr>
              <w:spacing w:after="0" w:before="0" w:line="240" w:lineRule="auto"/>
            </w:pPr>
            <w:r>
              <w:rPr>
                <w:rFonts w:ascii="Arial" w:hAnsi="Arial"/>
                <w:b w:val="0"/>
                <w:color w:val="000000"/>
                <w:sz w:val="20"/>
              </w:rPr>
              <w:t>Date</w:t>
            </w:r>
          </w:p>
        </w:tc>
        <w:tc>
          <w:tcPr>
            <w:tcW w:type="dxa" w:w="6240"/>
          </w:tcPr>
          <w:p>
            <w:pPr>
              <w:spacing w:after="0" w:before="0" w:line="240" w:lineRule="auto"/>
            </w:pPr>
            <w:r>
              <w:rPr>
                <w:rFonts w:ascii="Arial" w:hAnsi="Arial"/>
                <w:b w:val="0"/>
                <w:color w:val="000000"/>
                <w:sz w:val="20"/>
              </w:rPr>
              <w:t>21/04/2026</w:t>
            </w:r>
          </w:p>
        </w:tc>
      </w:tr>
    </w:tbl>
    <w:sectPr w:rsidR="00FC693F" w:rsidRPr="0006063C" w:rsidSect="00034616">
      <w:headerReference w:type="default" r:id="rId10"/>
      <w:footerReference w:type="default" r:id="rId11"/>
      <w:pgSz w:w="11920" w:h="16840"/>
      <w:pgMar w:top="1280" w:right="640" w:bottom="680" w:left="640" w:header="280" w:footer="320" w:gutter="0"/>
      <w:cols w:space="720"/>
      <w:docGrid w:linePitch="360"/>
      <w:pgNumType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Translation" w:initials="AI" w:date="2026-10-08T14:51:20Z">
    <w:p>
      <w:pPr>
        <w:pStyle w:val="CommentText"/>
      </w:pPr>
      <w:r>
        <w:rPr>
          <w:rStyle w:val="CommentReference"/>
        </w:rPr>
        <w:annotationRef/>
      </w:r>
      <w:r>
        <w:t>[UNCLEAR] — Source: handwriting | Recognition confidence: low</w:t>
      </w:r>
    </w:p>
    <w:p>
      <w:pPr>
        <w:pStyle w:val="CommentText"/>
      </w:pPr>
      <w:r>
        <w:t>Best reading (original language): "KT0VVC9"</w:t>
      </w:r>
    </w:p>
    <w:p>
      <w:pPr>
        <w:pStyle w:val="CommentText"/>
      </w:pPr>
      <w:r>
        <w:t>Alternative readings: "KT0VVC9" | "KTOVVC9"</w:t>
      </w:r>
    </w:p>
    <w:p>
      <w:pPr>
        <w:pStyle w:val="CommentText"/>
      </w:pPr>
      <w:r>
        <w:t>Reason: third character 0/O cannot be verified; cropped region re-rendered at 1184 DPI</w:t>
      </w:r>
    </w:p>
    <w:p>
      <w:pPr>
        <w:pStyle w:val="CommentText"/>
      </w:pPr>
      <w:r>
        <w:t>Recommended check: verify against original p. 1, field "Lot no.", and product packaging.</w:t>
      </w:r>
    </w:p>
  </w:comment>
  <w:comment w:id="1"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2"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p>
      <w:pPr>
        <w:pStyle w:val="CommentText"/>
      </w:pPr>
      <w:r>
        <w:t>Review note: both 114,3 mg/mL presentation boxes are marked; neither has been removed.</w:t>
      </w:r>
    </w:p>
  </w:comment>
  <w:comment w:id="3"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p>
      <w:pPr>
        <w:pStyle w:val="CommentText"/>
      </w:pPr>
      <w:r>
        <w:t>Review note: both 114,3 mg/mL presentation boxes are marked; neither has been removed.</w:t>
      </w:r>
    </w:p>
  </w:comment>
  <w:comment w:id="4" w:author="AI Translation" w:initials="AI" w:date="2026-10-08T14:51:20Z">
    <w:p>
      <w:pPr>
        <w:pStyle w:val="CommentText"/>
      </w:pPr>
      <w:r>
        <w:rPr>
          <w:rStyle w:val="CommentReference"/>
        </w:rPr>
        <w:annotationRef/>
      </w:r>
      <w:r>
        <w:t>[HANDWRITING] — Confidence: high</w:t>
      </w:r>
    </w:p>
    <w:p>
      <w:pPr>
        <w:pStyle w:val="CommentText"/>
      </w:pPr>
      <w:r>
        <w:t>Source text (original language): "08/04/2026"</w:t>
      </w:r>
    </w:p>
    <w:p>
      <w:pPr>
        <w:pStyle w:val="CommentText"/>
      </w:pPr>
      <w:r>
        <w:t>Translation: "08/04/2026"</w:t>
      </w:r>
    </w:p>
  </w:comment>
  <w:comment w:id="5" w:author="AI Translation" w:initials="AI" w:date="2026-10-08T14:51:20Z">
    <w:p>
      <w:pPr>
        <w:pStyle w:val="CommentText"/>
      </w:pPr>
      <w:r>
        <w:rPr>
          <w:rStyle w:val="CommentReference"/>
        </w:rPr>
        <w:annotationRef/>
      </w:r>
      <w:r>
        <w:t>[HANDWRITING] — Confidence: high</w:t>
      </w:r>
    </w:p>
    <w:p>
      <w:pPr>
        <w:pStyle w:val="CommentText"/>
      </w:pPr>
      <w:r>
        <w:t>Source text (original language): "Dr ASSAD-MEILLON Ghislaine"</w:t>
      </w:r>
    </w:p>
    <w:p>
      <w:pPr>
        <w:pStyle w:val="CommentText"/>
      </w:pPr>
      <w:r>
        <w:t>Translation: "Dr ASSAD-MEILLON Ghislaine"</w:t>
      </w:r>
    </w:p>
  </w:comment>
  <w:comment w:id="6"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7" w:author="AI Translation" w:initials="AI" w:date="2026-10-08T14:51:20Z">
    <w:p>
      <w:pPr>
        <w:pStyle w:val="CommentText"/>
      </w:pPr>
      <w:r>
        <w:rPr>
          <w:rStyle w:val="CommentReference"/>
        </w:rPr>
        <w:annotationRef/>
      </w:r>
      <w:r>
        <w:t>[HANDWRITING] — Confidence: high</w:t>
      </w:r>
    </w:p>
    <w:p>
      <w:pPr>
        <w:pStyle w:val="CommentText"/>
      </w:pPr>
      <w:r>
        <w:t>Source text (original language): "OPHTAVALMY"</w:t>
      </w:r>
    </w:p>
    <w:p>
      <w:pPr>
        <w:pStyle w:val="CommentText"/>
      </w:pPr>
      <w:r>
        <w:t>Translation: "OPHTAVALMY"</w:t>
      </w:r>
    </w:p>
  </w:comment>
  <w:comment w:id="8" w:author="AI Translation" w:initials="AI" w:date="2026-10-08T14:51:20Z">
    <w:p>
      <w:pPr>
        <w:pStyle w:val="CommentText"/>
      </w:pPr>
      <w:r>
        <w:rPr>
          <w:rStyle w:val="CommentReference"/>
        </w:rPr>
        <w:annotationRef/>
      </w:r>
      <w:r>
        <w:t>[HANDWRITING] — Confidence: high</w:t>
      </w:r>
    </w:p>
    <w:p>
      <w:pPr>
        <w:pStyle w:val="CommentText"/>
      </w:pPr>
      <w:r>
        <w:t>Source text (original language): "9 RUE JEANNE BARRET"</w:t>
      </w:r>
    </w:p>
    <w:p>
      <w:pPr>
        <w:pStyle w:val="CommentText"/>
      </w:pPr>
      <w:r>
        <w:t>Translation: "9 RUE JEANNE BARRET"</w:t>
      </w:r>
    </w:p>
  </w:comment>
  <w:comment w:id="9" w:author="AI Translation" w:initials="AI" w:date="2026-10-08T14:51:20Z">
    <w:p>
      <w:pPr>
        <w:pStyle w:val="CommentText"/>
      </w:pPr>
      <w:r>
        <w:rPr>
          <w:rStyle w:val="CommentReference"/>
        </w:rPr>
        <w:annotationRef/>
      </w:r>
      <w:r>
        <w:t>[HANDWRITING] — Confidence: high</w:t>
      </w:r>
    </w:p>
    <w:p>
      <w:pPr>
        <w:pStyle w:val="CommentText"/>
      </w:pPr>
      <w:r>
        <w:t>Source text (original language): "DIJON"</w:t>
      </w:r>
    </w:p>
    <w:p>
      <w:pPr>
        <w:pStyle w:val="CommentText"/>
      </w:pPr>
      <w:r>
        <w:t>Translation: "DIJON"</w:t>
      </w:r>
    </w:p>
  </w:comment>
  <w:comment w:id="10" w:author="AI Translation" w:initials="AI" w:date="2026-10-08T14:51:20Z">
    <w:p>
      <w:pPr>
        <w:pStyle w:val="CommentText"/>
      </w:pPr>
      <w:r>
        <w:rPr>
          <w:rStyle w:val="CommentReference"/>
        </w:rPr>
        <w:annotationRef/>
      </w:r>
      <w:r>
        <w:t>[HANDWRITING] — Confidence: high</w:t>
      </w:r>
    </w:p>
    <w:p>
      <w:pPr>
        <w:pStyle w:val="CommentText"/>
      </w:pPr>
      <w:r>
        <w:t>Source text (original language): "21000"</w:t>
      </w:r>
    </w:p>
    <w:p>
      <w:pPr>
        <w:pStyle w:val="CommentText"/>
      </w:pPr>
      <w:r>
        <w:t>Translation: "21000"</w:t>
      </w:r>
    </w:p>
  </w:comment>
  <w:comment w:id="11" w:author="AI Translation" w:initials="AI" w:date="2026-10-08T14:51:20Z">
    <w:p>
      <w:pPr>
        <w:pStyle w:val="CommentText"/>
      </w:pPr>
      <w:r>
        <w:rPr>
          <w:rStyle w:val="CommentReference"/>
        </w:rPr>
        <w:annotationRef/>
      </w:r>
      <w:r>
        <w:t>[HANDWRITING] — Confidence: high</w:t>
      </w:r>
    </w:p>
    <w:p>
      <w:pPr>
        <w:pStyle w:val="CommentText"/>
      </w:pPr>
      <w:r>
        <w:t>Source text (original language): "03 80 23 74 34"</w:t>
      </w:r>
    </w:p>
    <w:p>
      <w:pPr>
        <w:pStyle w:val="CommentText"/>
      </w:pPr>
      <w:r>
        <w:t>Translation: "03 80 23 74 34"</w:t>
      </w:r>
    </w:p>
  </w:comment>
  <w:comment w:id="12" w:author="AI Translation" w:initials="AI" w:date="2026-10-08T14:51:20Z">
    <w:p>
      <w:pPr>
        <w:pStyle w:val="CommentText"/>
      </w:pPr>
      <w:r>
        <w:rPr>
          <w:rStyle w:val="CommentReference"/>
        </w:rPr>
        <w:annotationRef/>
      </w:r>
      <w:r>
        <w:t>[HANDWRITING] — Confidence: high</w:t>
      </w:r>
    </w:p>
    <w:p>
      <w:pPr>
        <w:pStyle w:val="CommentText"/>
      </w:pPr>
      <w:r>
        <w:t>Source text (original language): "contact@ophtavalmy.com"</w:t>
      </w:r>
    </w:p>
    <w:p>
      <w:pPr>
        <w:pStyle w:val="CommentText"/>
      </w:pPr>
      <w:r>
        <w:t>Translation: "contact@ophtavalmy.com"</w:t>
      </w:r>
    </w:p>
  </w:comment>
  <w:comment w:id="13"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14" w:author="AI Translation" w:initials="AI" w:date="2026-10-08T14:51:20Z">
    <w:p>
      <w:pPr>
        <w:pStyle w:val="CommentText"/>
      </w:pPr>
      <w:r>
        <w:rPr>
          <w:rStyle w:val="CommentReference"/>
        </w:rPr>
        <w:annotationRef/>
      </w:r>
      <w:r>
        <w:t>[ILLEGIBLE] — Source: OCR_PRINT</w:t>
      </w:r>
    </w:p>
    <w:p>
      <w:pPr>
        <w:pStyle w:val="CommentText"/>
      </w:pPr>
      <w:r>
        <w:t>Reason: printed opening-hours overlay completely obscures the ending of the delivery label. No recoverable ending; no completion inferred. Crop omitted because affected label extends nearly across the full page width, under the permitted exception.</w:t>
      </w:r>
    </w:p>
    <w:p>
      <w:pPr>
        <w:pStyle w:val="CommentText"/>
      </w:pPr>
      <w:r>
        <w:t>Recommended check: verify against an unobscured original/template, p. 2, delivery information label.</w:t>
      </w:r>
    </w:p>
  </w:comment>
  <w:comment w:id="15" w:author="AI Translation" w:initials="AI" w:date="2026-10-08T14:51:20Z">
    <w:p>
      <w:pPr>
        <w:pStyle w:val="CommentText"/>
      </w:pPr>
      <w:r>
        <w:rPr>
          <w:rStyle w:val="CommentReference"/>
        </w:rPr>
        <w:annotationRef/>
      </w:r>
      <w:r>
        <w:t>[ILLEGIBLE] — Source: OCR_PRINT</w:t>
      </w:r>
    </w:p>
    <w:p>
      <w:pPr>
        <w:pStyle w:val="CommentText"/>
      </w:pPr>
      <w:r>
        <w:t>Reason: one tightly bounded crop re-rendered at 2400 DPI shows no discernible box at I(m); the adjacent printed specification line reaches the label. No checked or unchecked state inferred.</w:t>
      </w:r>
    </w:p>
    <w:p>
      <w:pPr>
        <w:pStyle w:val="CommentText"/>
      </w:pPr>
      <w:r>
        <w:t>Recommended check: verify against original p. 2, I(m) selection position.</w:t>
      </w:r>
    </w:p>
  </w:comment>
  <w:comment w:id="16"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17" w:author="AI Translation" w:initials="AI" w:date="2026-10-08T14:51:20Z">
    <w:p>
      <w:pPr>
        <w:pStyle w:val="CommentText"/>
      </w:pPr>
      <w:r>
        <w:rPr>
          <w:rStyle w:val="CommentReference"/>
        </w:rPr>
        <w:annotationRef/>
      </w:r>
      <w:r>
        <w:t>[HANDWRITING] — Confidence: high</w:t>
      </w:r>
    </w:p>
    <w:p>
      <w:pPr>
        <w:pStyle w:val="CommentText"/>
      </w:pPr>
      <w:r>
        <w:t>Source text (original language): "Condensation/eau dans l’emballage avant ouverture"</w:t>
      </w:r>
    </w:p>
    <w:p>
      <w:pPr>
        <w:pStyle w:val="CommentText"/>
      </w:pPr>
      <w:r>
        <w:t>Translation: "Condensation/water in packaging before opening"</w:t>
      </w:r>
    </w:p>
  </w:comment>
  <w:comment w:id="18" w:author="AI Translation" w:initials="AI" w:date="2026-10-08T14:51:20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p>
      <w:pPr>
        <w:pStyle w:val="CommentText"/>
      </w:pPr>
      <w:r>
        <w:t>Review note: later native administrative entry denies a break in the cold chain; both statements are preserved.</w:t>
      </w:r>
    </w:p>
  </w:comment>
  <w:comment w:id="19" w:author="AI Translation" w:initials="AI" w:date="2026-10-08T14:51:20Z">
    <w:p>
      <w:pPr>
        <w:pStyle w:val="CommentText"/>
      </w:pPr>
      <w:r>
        <w:rPr>
          <w:rStyle w:val="CommentReference"/>
        </w:rPr>
        <w:annotationRef/>
      </w:r>
      <w:r>
        <w:t>[ILLEGIBLE] — Source: signature</w:t>
      </w:r>
    </w:p>
    <w:p>
      <w:pPr>
        <w:pStyle w:val="CommentText"/>
      </w:pPr>
      <w:r>
        <w:t>[SIGNATURE]</w:t>
      </w:r>
    </w:p>
    <w:p>
      <w:pPr>
        <w:pStyle w:val="CommentText"/>
      </w:pPr>
      <w:r>
        <w:t>Reason: stylized signature cannot be transcribed; cropped region re-rendered at 1895 DPI</w:t>
      </w:r>
    </w:p>
    <w:p>
      <w:pPr>
        <w:pStyle w:val="CommentText"/>
      </w:pPr>
      <w:r>
        <w:t>Recommended check: verify against original p. 3, signature block and signatory.</w:t>
      </w:r>
    </w:p>
  </w:comment>
  <w:comment w:id="20" w:author="AI Translation" w:initials="AI" w:date="2026-10-08T14:51:20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"21/04/2026"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footnoteRef/>
      </w:r>
      <w:r>
        <w:rPr>
          <w:sz w:val="18"/>
          <w:color w:val="666666"/>
        </w:rPr>
        <w:t xml:space="preserve"> The confidence value is a reasoned quality estimate, not a proof of correctness. For an explanation of how it is calculated, what the quality levels mean, and which passages require manual verification, see the accompanying quality report: 001_AI Translation Quality Report.docx.</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9680"/>
      <w:gridCol w:w="960"/>
    </w:tblGrid>
    <w:tr>
      <w:tc>
        <w:tcPr>
          <w:tcW w:type="dxa" w:w="5320"/>
        </w:tcPr>
        <w:p>
          <w:pPr>
            <w:spacing w:after="0" w:line="240" w:lineRule="auto"/>
          </w:pPr>
          <w:r>
            <w:rPr>
              <w:rFonts w:ascii="Arial" w:hAnsi="Arial"/>
              <w:sz w:val="18"/>
            </w:rPr>
            <w:t>Eylea® PSP form (aflibercept, 40 mg/mL) (aflibercept 114,3 mg/mL)</w:t>
            <w:br/>
            <w:t>CRS-FR-2024-000001/ PP-EYL-FR-0653-1</w:t>
          </w:r>
        </w:p>
      </w:tc>
      <w:tc>
        <w:tcPr>
          <w:tcW w:type="dxa" w:w="5320"/>
        </w:tcPr>
        <w:p>
          <w:pPr>
            <w:spacing w:after="0"/>
            <w:jc w:val="right"/>
          </w:pPr>
          <w:r>
            <w:drawing>
              <wp:inline xmlns:a="http://schemas.openxmlformats.org/drawingml/2006/main" xmlns:pic="http://schemas.openxmlformats.org/drawingml/2006/picture">
                <wp:extent cx="368300" cy="381548"/>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68300" cy="381548"/>
                        </a:xfrm>
                        <a:prstGeom prst="rect"/>
                      </pic:spPr>
                    </pic:pic>
                  </a:graphicData>
                </a:graphic>
              </wp:inline>
            </w:drawing>
          </w:r>
        </w:p>
      </w:tc>
    </w:tr>
  </w:tbl>
  <w:p>
    <w:pPr>
      <w:spacing w:after="0"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Hyphenat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Arial" w:hAnsi="Arial"/>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 — Translated by AI</dc:title>
  <dc:subject>English translation reconstructed from completed E2 state</dc:subject>
  <dc:creator>AI Translation</dc:creator>
  <cp:keywords/>
  <dc:description>ChatGPT (OpenAI); version not exposed. Prompt: prompt.en.0.6.md, version 0.6.</dc:description>
  <cp:lastModifiedBy/>
  <cp:revision>1</cp:revision>
  <dcterms:created xsi:type="dcterms:W3CDTF">2013-12-23T23:15:00Z</dcterms:created>
  <dcterms:modified xsi:type="dcterms:W3CDTF">2013-12-23T23:15:00Z</dcterms:modified>
  <cp:category/>
</cp:coreProperties>
</file>