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Translation Quality Report</w:t>
      </w:r>
    </w:p>
    <w:p>
      <w:r>
        <w:rPr>
          <w:b/>
        </w:rPr>
        <w:t xml:space="preserve">Source page count (programmatically determined): </w:t>
      </w:r>
      <w:r>
        <w:t>1</w:t>
      </w:r>
    </w:p>
    <w:p>
      <w:pPr>
        <w:pStyle w:val="Heading1"/>
      </w:pPr>
      <w:r>
        <w:t>Name of the processed file</w:t>
      </w:r>
    </w:p>
    <w:p>
      <w:r>
        <w:t>002.pdf</w:t>
      </w:r>
    </w:p>
    <w:p>
      <w:pPr>
        <w:pStyle w:val="Heading1"/>
      </w:pPr>
      <w:r>
        <w:t>Names of all generated files, including the Markdown version</w:t>
      </w:r>
    </w:p>
    <w:p>
      <w:r>
        <w:t>002_Translated by AI.docx</w:t>
      </w:r>
    </w:p>
    <w:p>
      <w:r>
        <w:t>002_Translated by AI.md</w:t>
      </w:r>
    </w:p>
    <w:p>
      <w:r>
        <w:t>002_AI Translation Quality Report.docx</w:t>
      </w:r>
    </w:p>
    <w:p>
      <w:r>
        <w:t>002_AI Translation Used Terminology.csv</w:t>
      </w:r>
    </w:p>
    <w:p>
      <w:r>
        <w:t>The report is completed and saved before the terminology CSV is created; the CSV is the final business deliverable in the prescribed sequence.</w:t>
      </w:r>
    </w:p>
    <w:p>
      <w:r>
        <w:rPr>
          <w:b/>
        </w:rPr>
        <w:t xml:space="preserve">Name of the LLM used: </w:t>
      </w:r>
      <w:r>
        <w:t>ChatGPT (exact version not exposed)</w:t>
      </w:r>
    </w:p>
    <w:p>
      <w:r>
        <w:rPr>
          <w:b/>
        </w:rPr>
        <w:t xml:space="preserve">Name of the prompt file used: </w:t>
      </w:r>
      <w:r>
        <w:t>prompt.en.0.7.md</w:t>
      </w:r>
    </w:p>
    <w:p>
      <w:r>
        <w:rPr>
          <w:b/>
        </w:rPr>
        <w:t xml:space="preserve">Version of the prompt file used: </w:t>
      </w:r>
      <w:r>
        <w:t>0.7</w:t>
      </w:r>
    </w:p>
    <w:p>
      <w:r>
        <w:t>The actual prompt filename is used, rather than the legacy filename declared in the prompt’s ignored metadata chapter.</w:t>
      </w:r>
    </w:p>
    <w:p>
      <w:pPr>
        <w:pStyle w:val="Heading1"/>
      </w:pPr>
      <w:r>
        <w:t>Overall result</w:t>
      </w:r>
    </w:p>
    <w:p>
      <w:r>
        <w:rPr>
          <w:b/>
        </w:rPr>
        <w:t xml:space="preserve">output format generated: </w:t>
      </w:r>
      <w:r>
        <w:t>DOCX translation and DOCX quality report; additional Markdown translation and UTF-8 CSV terminology</w:t>
      </w:r>
    </w:p>
    <w:p>
      <w:r>
        <w:rPr>
          <w:b/>
        </w:rPr>
        <w:t xml:space="preserve">number of pages processed: </w:t>
      </w:r>
      <w:r>
        <w:t>1</w:t>
      </w:r>
    </w:p>
    <w:p>
      <w:r>
        <w:rPr>
          <w:b/>
        </w:rPr>
        <w:t xml:space="preserve">number of pages processed completely: </w:t>
      </w:r>
      <w:r>
        <w:t>1</w:t>
      </w:r>
    </w:p>
    <w:p>
      <w:r>
        <w:rPr>
          <w:b/>
        </w:rPr>
        <w:t xml:space="preserve">number of problematic pages: </w:t>
      </w:r>
      <w:r>
        <w:t>1</w:t>
      </w:r>
    </w:p>
    <w:p>
      <w:r>
        <w:rPr>
          <w:b/>
        </w:rPr>
        <w:t xml:space="preserve">total number of handwritten segments (source HANDWRITING or SIGNATURE): </w:t>
      </w:r>
      <w:r>
        <w:t>5</w:t>
      </w:r>
    </w:p>
    <w:p>
      <w:r>
        <w:rPr>
          <w:b/>
        </w:rPr>
        <w:t xml:space="preserve">total number of comments set: </w:t>
      </w:r>
      <w:r>
        <w:t>5</w:t>
      </w:r>
    </w:p>
    <w:p>
      <w:r>
        <w:rPr>
          <w:b/>
        </w:rPr>
        <w:t xml:space="preserve">presentation level of the fallback cascade used: </w:t>
      </w:r>
      <w:r>
        <w:t>Level 1 — Word comment; author AI Translation, initials AI</w:t>
      </w:r>
    </w:p>
    <w:p>
      <w:r>
        <w:rPr>
          <w:b/>
        </w:rPr>
        <w:t xml:space="preserve">language variant used: </w:t>
      </w:r>
      <w:r>
        <w:t>American English</w:t>
      </w:r>
    </w:p>
    <w:p>
      <w:r>
        <w:t>All visible source content is represented: nine nonempty text translations plus the preexisting opaque redaction. Complete representation does not mean that every character is reliably legible. Comprehensive qualified review is required before medical, regulatory or business use. Finished translation files were not rewritten.</w:t>
      </w:r>
    </w:p>
    <w:p>
      <w:pPr>
        <w:pStyle w:val="Heading1"/>
      </w:pPr>
      <w:r>
        <w:t>Document analysis and recognition method</w:t>
      </w:r>
    </w:p>
    <w:p>
      <w:r>
        <w:t>Source: Italian handwritten medical statement, one scanned portrait page, 595.32 × 841.92 points. Native text: 0%; scanned pages: 100%. PDF inspection confirms zero native text and one raster image. The source has no tables, headings, headers, footers, form fields, table of contents, diagrams or source footnotes. It has a place/date line, one main certification block interrupted visually by a preexisting opaque black redaction, a closing, and a stamp overlapped by a signature. There are no recurring layout elements across pages.</w:t>
      </w:r>
    </w:p>
    <w:p>
      <w:r>
        <w:t>Generic extraction was garbled and unsuitable as authoritative OCR. Visual transcription of the scan and existing crop views was used instead. E1 rendered the entire page once at 300 DPI. The preview is only a downsampled display conversion, not an additional full-page rendering. No deskewing, rotation, binarization, denoising, contrast or sharpening was necessary beyond display conversion. E5 inspected existing images only; no page or crop was rendered again.</w:t>
      </w:r>
    </w:p>
    <w:tbl>
      <w:tblPr>
        <w:tblStyle w:val="TableGrid"/>
        <w:tblW w:type="auto" w:w="0"/>
        <w:tblLook w:firstColumn="1" w:firstRow="1" w:lastColumn="0" w:lastRow="0" w:noHBand="0" w:noVBand="1" w:val="04A0"/>
      </w:tblPr>
      <w:tblGrid>
        <w:gridCol w:w="3298"/>
        <w:gridCol w:w="3298"/>
        <w:gridCol w:w="3298"/>
      </w:tblGrid>
      <w:tr>
        <w:trPr>
          <w:cantSplit/>
        </w:trPr>
        <w:tc>
          <w:tcPr>
            <w:tcW w:type="dxa" w:w="3298"/>
          </w:tcPr>
          <w:p>
            <w:r>
              <w:t>Fresh crop from PDF</w:t>
            </w:r>
          </w:p>
        </w:tc>
        <w:tc>
          <w:tcPr>
            <w:tcW w:type="dxa" w:w="3298"/>
          </w:tcPr>
          <w:p>
            <w:r>
              <w:t>DPI</w:t>
            </w:r>
          </w:p>
        </w:tc>
        <w:tc>
          <w:tcPr>
            <w:tcW w:type="dxa" w:w="3298"/>
          </w:tcPr>
          <w:p>
            <w:r>
              <w:t>Outcome</w:t>
            </w:r>
          </w:p>
        </w:tc>
      </w:tr>
      <w:tr>
        <w:trPr>
          <w:cantSplit/>
        </w:trPr>
        <w:tc>
          <w:tcPr>
            <w:tcW w:type="dxa" w:w="3298"/>
          </w:tcPr>
          <w:p>
            <w:r>
              <w:t>Lot identifier</w:t>
            </w:r>
          </w:p>
        </w:tc>
        <w:tc>
          <w:tcPr>
            <w:tcW w:type="dxa" w:w="3298"/>
          </w:tcPr>
          <w:p>
            <w:r>
              <w:t>1120</w:t>
            </w:r>
          </w:p>
        </w:tc>
        <w:tc>
          <w:tcPr>
            <w:tcW w:type="dxa" w:w="3298"/>
          </w:tcPr>
          <w:p>
            <w:r>
              <w:t>TU04RT2 confirmed by visual crop review.</w:t>
            </w:r>
          </w:p>
        </w:tc>
      </w:tr>
      <w:tr>
        <w:trPr>
          <w:cantSplit/>
        </w:trPr>
        <w:tc>
          <w:tcPr>
            <w:tcW w:type="dxa" w:w="3298"/>
          </w:tcPr>
          <w:p>
            <w:r>
              <w:t>Stamp and signature</w:t>
            </w:r>
          </w:p>
        </w:tc>
        <w:tc>
          <w:tcPr>
            <w:tcW w:type="dxa" w:w="3298"/>
          </w:tcPr>
          <w:p>
            <w:r>
              <w:t>820</w:t>
            </w:r>
          </w:p>
        </w:tc>
        <w:tc>
          <w:tcPr>
            <w:tcW w:type="dxa" w:w="3298"/>
          </w:tcPr>
          <w:p>
            <w:r>
              <w:t>Name, qualification and registration readable; fiscal identifier remains uncertain; signature illegible.</w:t>
            </w:r>
          </w:p>
        </w:tc>
      </w:tr>
      <w:tr>
        <w:trPr>
          <w:cantSplit/>
        </w:trPr>
        <w:tc>
          <w:tcPr>
            <w:tcW w:type="dxa" w:w="3298"/>
          </w:tcPr>
          <w:p>
            <w:r>
              <w:t>Final certification sentence</w:t>
            </w:r>
          </w:p>
        </w:tc>
        <w:tc>
          <w:tcPr>
            <w:tcW w:type="dxa" w:w="3298"/>
          </w:tcPr>
          <w:p>
            <w:r>
              <w:t>345</w:t>
            </w:r>
          </w:p>
        </w:tc>
        <w:tc>
          <w:tcPr>
            <w:tcW w:type="dxa" w:w="3298"/>
          </w:tcPr>
          <w:p>
            <w:r>
              <w:t>Best reading ho; alternative ha remains subject-changing uncertainty.</w:t>
            </w:r>
          </w:p>
        </w:tc>
      </w:tr>
    </w:tbl>
    <w:p>
      <w:r>
        <w:t>One fresh crop attempt was made per affected region in the earlier recognition stage, rather than cropping the existing full-page raster. Enlarged crops remain limited by the original scan’s underlying detail; rerendering cannot recover information absent from that scan. No concealed redacted text was recovered or inferred.</w:t>
      </w:r>
    </w:p>
    <w:p>
      <w:pPr>
        <w:pStyle w:val="Heading1"/>
      </w:pPr>
      <w:r>
        <w:t>Confidence Index</w:t>
      </w:r>
    </w:p>
    <w:p>
      <w:r>
        <w:rPr>
          <w:b/>
        </w:rPr>
        <w:t xml:space="preserve">Formula for calculating the confidence value per page: </w:t>
      </w:r>
      <w:r>
        <w:t>#$# Page confidence = (OCR confidence × 0.40) + (translation confidence × 0.40) + (layout confidence × 0.20) #$#</w:t>
      </w:r>
    </w:p>
    <w:p>
      <w:r>
        <w:t>Page 1: (78 × 0.40) + (78 × 0.40) + (85 × 0.20) = 79.4%, rounded to 79%.</w:t>
      </w:r>
    </w:p>
    <w:p>
      <w:r>
        <w:rPr>
          <w:b/>
        </w:rPr>
        <w:t xml:space="preserve">Formula for calculating the confidence value for the overall document: </w:t>
      </w:r>
      <w:r>
        <w:t>#$# Confidence Index = (A × 0.25) + (B × 0.20) + (C × 0.25) + (D × 0.10) + (E × 0.10) + (F × 0.10) #$#</w:t>
      </w:r>
    </w:p>
    <w:p>
      <w:r>
        <w:t>Weighted raw result: (78 × 0.25) + (100 × 0.20) + (78 × 0.25) + (95 × 0.10) + (95 × 0.10) + (85 × 0.10) = 86.5%. Uncapped whole-percent rounding would be 87%; the mandatory cap controls the final value.</w:t>
      </w:r>
    </w:p>
    <w:p>
      <w:r>
        <w:rPr>
          <w:b/>
        </w:rPr>
        <w:t xml:space="preserve">Overall value in percent: </w:t>
      </w:r>
      <w:r>
        <w:t>50%</w:t>
      </w:r>
    </w:p>
    <w:p>
      <w:r>
        <w:rPr>
          <w:b/>
        </w:rPr>
        <w:t xml:space="preserve">quality level: </w:t>
      </w:r>
      <w:r>
        <w:t>significant uncertainties, comprehensive review required</w:t>
      </w:r>
    </w:p>
    <w:p>
      <w:r>
        <w:rPr>
          <w:b/>
        </w:rPr>
        <w:t xml:space="preserve">brief justification: </w:t>
      </w:r>
      <w:r>
        <w:t>The fiscal identifier cannot be checked reliably, invoking the 50% cap for unverified numbers/identifiers. The ho/ha reading and illegible signature are additional material review issues. Fluency and complete representation do not remove these source uncertainties.</w:t>
      </w:r>
    </w:p>
    <w:p>
      <w:r>
        <w:t>No page is missing, and systematic completeness and section-by-section comparison were possible for visible content. Independent verification of the obscured identifier and signature is not possible from this scan. The index is a reasoned estimate, not mathematical proof, and does not replace specialist review.</w:t>
      </w:r>
    </w:p>
    <w:p>
      <w:pPr>
        <w:pStyle w:val="Heading1"/>
      </w:pPr>
      <w:r>
        <w:t>Sub-scores</w:t>
      </w:r>
    </w:p>
    <w:tbl>
      <w:tblPr>
        <w:tblStyle w:val="TableGrid"/>
        <w:tblW w:type="auto" w:w="0"/>
        <w:tblLook w:firstColumn="1" w:firstRow="1" w:lastColumn="0" w:lastRow="0" w:noHBand="0" w:noVBand="1" w:val="04A0"/>
      </w:tblPr>
      <w:tblGrid>
        <w:gridCol w:w="3298"/>
        <w:gridCol w:w="3298"/>
        <w:gridCol w:w="3298"/>
      </w:tblGrid>
      <w:tr>
        <w:trPr>
          <w:cantSplit/>
        </w:trPr>
        <w:tc>
          <w:tcPr>
            <w:tcW w:type="dxa" w:w="3298"/>
          </w:tcPr>
          <w:p>
            <w:r>
              <w:t>Category</w:t>
            </w:r>
          </w:p>
        </w:tc>
        <w:tc>
          <w:tcPr>
            <w:tcW w:type="dxa" w:w="3298"/>
          </w:tcPr>
          <w:p>
            <w:r>
              <w:t>Score</w:t>
            </w:r>
          </w:p>
        </w:tc>
        <w:tc>
          <w:tcPr>
            <w:tcW w:type="dxa" w:w="3298"/>
          </w:tcPr>
          <w:p>
            <w:r>
              <w:t>Reason</w:t>
            </w:r>
          </w:p>
        </w:tc>
      </w:tr>
      <w:tr>
        <w:trPr>
          <w:cantSplit/>
        </w:trPr>
        <w:tc>
          <w:tcPr>
            <w:tcW w:type="dxa" w:w="3298"/>
          </w:tcPr>
          <w:p>
            <w:r>
              <w:t>Text capture and OCR</w:t>
            </w:r>
          </w:p>
        </w:tc>
        <w:tc>
          <w:tcPr>
            <w:tcW w:type="dxa" w:w="3298"/>
          </w:tcPr>
          <w:p>
            <w:r>
              <w:t>78%</w:t>
            </w:r>
          </w:p>
        </w:tc>
        <w:tc>
          <w:tcPr>
            <w:tcW w:type="dxa" w:w="3298"/>
          </w:tcPr>
          <w:p>
            <w:r>
              <w:t>Correct raster strategy and visual transcription; original scan, ambiguous verb and overlapping stamp/signature limit reliability.</w:t>
            </w:r>
          </w:p>
        </w:tc>
      </w:tr>
      <w:tr>
        <w:trPr>
          <w:cantSplit/>
        </w:trPr>
        <w:tc>
          <w:tcPr>
            <w:tcW w:type="dxa" w:w="3298"/>
          </w:tcPr>
          <w:p>
            <w:r>
              <w:t>Completeness</w:t>
            </w:r>
          </w:p>
        </w:tc>
        <w:tc>
          <w:tcPr>
            <w:tcW w:type="dxa" w:w="3298"/>
          </w:tcPr>
          <w:p>
            <w:r>
              <w:t>100%</w:t>
            </w:r>
          </w:p>
        </w:tc>
        <w:tc>
          <w:tcPr>
            <w:tcW w:type="dxa" w:w="3298"/>
          </w:tcPr>
          <w:p>
            <w:r>
              <w:t>One of one source pages and all visible text/image elements represented, including uncertainty placeholders.</w:t>
            </w:r>
          </w:p>
        </w:tc>
      </w:tr>
      <w:tr>
        <w:trPr>
          <w:cantSplit/>
        </w:trPr>
        <w:tc>
          <w:tcPr>
            <w:tcW w:type="dxa" w:w="3298"/>
          </w:tcPr>
          <w:p>
            <w:r>
              <w:t>Translation accuracy</w:t>
            </w:r>
          </w:p>
        </w:tc>
        <w:tc>
          <w:tcPr>
            <w:tcW w:type="dxa" w:w="3298"/>
          </w:tcPr>
          <w:p>
            <w:r>
              <w:t>78%</w:t>
            </w:r>
          </w:p>
        </w:tc>
        <w:tc>
          <w:tcPr>
            <w:tcW w:type="dxa" w:w="3298"/>
          </w:tcPr>
          <w:p>
            <w:r>
              <w:t>Medical relationships retained; final sentence subject still requires verification.</w:t>
            </w:r>
          </w:p>
        </w:tc>
      </w:tr>
      <w:tr>
        <w:trPr>
          <w:cantSplit/>
        </w:trPr>
        <w:tc>
          <w:tcPr>
            <w:tcW w:type="dxa" w:w="3298"/>
          </w:tcPr>
          <w:p>
            <w:r>
              <w:t>Terminological consistency</w:t>
            </w:r>
          </w:p>
        </w:tc>
        <w:tc>
          <w:tcPr>
            <w:tcW w:type="dxa" w:w="3298"/>
          </w:tcPr>
          <w:p>
            <w:r>
              <w:t>95%</w:t>
            </w:r>
          </w:p>
        </w:tc>
        <w:tc>
          <w:tcPr>
            <w:tcW w:type="dxa" w:w="3298"/>
          </w:tcPr>
          <w:p>
            <w:r>
              <w:t>Consistent technical terms; unsupported abbreviation expansions avoided.</w:t>
            </w:r>
          </w:p>
        </w:tc>
      </w:tr>
      <w:tr>
        <w:trPr>
          <w:cantSplit/>
        </w:trPr>
        <w:tc>
          <w:tcPr>
            <w:tcW w:type="dxa" w:w="3298"/>
          </w:tcPr>
          <w:p>
            <w:r>
              <w:t>Language quality</w:t>
            </w:r>
          </w:p>
        </w:tc>
        <w:tc>
          <w:tcPr>
            <w:tcW w:type="dxa" w:w="3298"/>
          </w:tcPr>
          <w:p>
            <w:r>
              <w:t>95%</w:t>
            </w:r>
          </w:p>
        </w:tc>
        <w:tc>
          <w:tcPr>
            <w:tcW w:type="dxa" w:w="3298"/>
          </w:tcPr>
          <w:p>
            <w:r>
              <w:t>Professional American English; source uncertainty limits confidence rather than grammatical fluency.</w:t>
            </w:r>
          </w:p>
        </w:tc>
      </w:tr>
      <w:tr>
        <w:trPr>
          <w:cantSplit/>
        </w:trPr>
        <w:tc>
          <w:tcPr>
            <w:tcW w:type="dxa" w:w="3298"/>
          </w:tcPr>
          <w:p>
            <w:r>
              <w:t>Layout and structural fidelity</w:t>
            </w:r>
          </w:p>
        </w:tc>
        <w:tc>
          <w:tcPr>
            <w:tcW w:type="dxa" w:w="3298"/>
          </w:tcPr>
          <w:p>
            <w:r>
              <w:t>85%</w:t>
            </w:r>
          </w:p>
        </w:tc>
        <w:tc>
          <w:tcPr>
            <w:tcW w:type="dxa" w:w="3298"/>
          </w:tcPr>
          <w:p>
            <w:r>
              <w:t>Reading order and page assignment retained; typography/positions approximate and stamp/signature appearance reconstructed.</w:t>
            </w:r>
          </w:p>
        </w:tc>
      </w:tr>
    </w:tbl>
    <w:p>
      <w:pPr>
        <w:pStyle w:val="Heading1"/>
      </w:pPr>
      <w:r>
        <w:t>Page-related quality assessment</w:t>
      </w:r>
    </w:p>
    <w:p>
      <w:r>
        <w:t>Exactly one source-page assessment entry follows. The report’s own physical pagination is not a count of source pages.</w:t>
      </w:r>
    </w:p>
    <w:tbl>
      <w:tblPr>
        <w:tblStyle w:val="TableGrid"/>
        <w:tblW w:type="auto" w:w="0"/>
        <w:tblLook w:firstColumn="1" w:firstRow="1" w:lastColumn="0" w:lastRow="0" w:noHBand="0" w:noVBand="1" w:val="04A0"/>
      </w:tblPr>
      <w:tblGrid>
        <w:gridCol w:w="1237"/>
        <w:gridCol w:w="1237"/>
        <w:gridCol w:w="1237"/>
        <w:gridCol w:w="1237"/>
        <w:gridCol w:w="1237"/>
        <w:gridCol w:w="1237"/>
        <w:gridCol w:w="1237"/>
        <w:gridCol w:w="1237"/>
      </w:tblGrid>
      <w:tr>
        <w:trPr>
          <w:cantSplit/>
        </w:trPr>
        <w:tc>
          <w:tcPr>
            <w:tcW w:type="dxa" w:w="1237"/>
          </w:tcPr>
          <w:p>
            <w:r>
              <w:t>Page</w:t>
            </w:r>
          </w:p>
        </w:tc>
        <w:tc>
          <w:tcPr>
            <w:tcW w:type="dxa" w:w="1237"/>
          </w:tcPr>
          <w:p>
            <w:r>
              <w:t>Type</w:t>
            </w:r>
          </w:p>
        </w:tc>
        <w:tc>
          <w:tcPr>
            <w:tcW w:type="dxa" w:w="1237"/>
          </w:tcPr>
          <w:p>
            <w:r>
              <w:t>OCR</w:t>
            </w:r>
          </w:p>
        </w:tc>
        <w:tc>
          <w:tcPr>
            <w:tcW w:type="dxa" w:w="1237"/>
          </w:tcPr>
          <w:p>
            <w:r>
              <w:t>Translation</w:t>
            </w:r>
          </w:p>
        </w:tc>
        <w:tc>
          <w:tcPr>
            <w:tcW w:type="dxa" w:w="1237"/>
          </w:tcPr>
          <w:p>
            <w:r>
              <w:t>Layout</w:t>
            </w:r>
          </w:p>
        </w:tc>
        <w:tc>
          <w:tcPr>
            <w:tcW w:type="dxa" w:w="1237"/>
          </w:tcPr>
          <w:p>
            <w:r>
              <w:t>Page confidence</w:t>
            </w:r>
          </w:p>
        </w:tc>
        <w:tc>
          <w:tcPr>
            <w:tcW w:type="dxa" w:w="1237"/>
          </w:tcPr>
          <w:p>
            <w:r>
              <w:t>HW/signature</w:t>
            </w:r>
          </w:p>
        </w:tc>
        <w:tc>
          <w:tcPr>
            <w:tcW w:type="dxa" w:w="1237"/>
          </w:tcPr>
          <w:p>
            <w:r>
              <w:t>Comments</w:t>
            </w:r>
          </w:p>
        </w:tc>
      </w:tr>
      <w:tr>
        <w:trPr>
          <w:cantSplit/>
        </w:trPr>
        <w:tc>
          <w:tcPr>
            <w:tcW w:type="dxa" w:w="1237"/>
          </w:tcPr>
          <w:p>
            <w:r>
              <w:t>1</w:t>
            </w:r>
          </w:p>
        </w:tc>
        <w:tc>
          <w:tcPr>
            <w:tcW w:type="dxa" w:w="1237"/>
          </w:tcPr>
          <w:p>
            <w:r>
              <w:t>scanned</w:t>
            </w:r>
          </w:p>
        </w:tc>
        <w:tc>
          <w:tcPr>
            <w:tcW w:type="dxa" w:w="1237"/>
          </w:tcPr>
          <w:p>
            <w:r>
              <w:t>78%</w:t>
            </w:r>
          </w:p>
        </w:tc>
        <w:tc>
          <w:tcPr>
            <w:tcW w:type="dxa" w:w="1237"/>
          </w:tcPr>
          <w:p>
            <w:r>
              <w:t>78%</w:t>
            </w:r>
          </w:p>
        </w:tc>
        <w:tc>
          <w:tcPr>
            <w:tcW w:type="dxa" w:w="1237"/>
          </w:tcPr>
          <w:p>
            <w:r>
              <w:t>85%</w:t>
            </w:r>
          </w:p>
        </w:tc>
        <w:tc>
          <w:tcPr>
            <w:tcW w:type="dxa" w:w="1237"/>
          </w:tcPr>
          <w:p>
            <w:r>
              <w:t>79%</w:t>
            </w:r>
          </w:p>
        </w:tc>
        <w:tc>
          <w:tcPr>
            <w:tcW w:type="dxa" w:w="1237"/>
          </w:tcPr>
          <w:p>
            <w:r>
              <w:t>5</w:t>
            </w:r>
          </w:p>
        </w:tc>
        <w:tc>
          <w:tcPr>
            <w:tcW w:type="dxa" w:w="1237"/>
          </w:tcPr>
          <w:p>
            <w:r>
              <w:t>5</w:t>
            </w:r>
          </w:p>
        </w:tc>
      </w:tr>
    </w:tbl>
    <w:p>
      <w:r>
        <w:rPr>
          <w:b/>
        </w:rPr>
        <w:t xml:space="preserve">Page 1 quality level: </w:t>
      </w:r>
      <w:r>
        <w:t>limited quality, technical re-examination recommended</w:t>
      </w:r>
    </w:p>
    <w:p>
      <w:r>
        <w:rPr>
          <w:b/>
        </w:rPr>
        <w:t xml:space="preserve">Page 1 identified problem areas: </w:t>
      </w:r>
      <w:r>
        <w:t>Final sentence ho versus ha; fiscal identifier obscured by signature, especially B42; illegible signature; approximate reconstruction of stamp and handwriting.</w:t>
      </w:r>
    </w:p>
    <w:p>
      <w:r>
        <w:rPr>
          <w:b/>
        </w:rPr>
        <w:t xml:space="preserve">Page 1 recommended manual review: </w:t>
      </w:r>
      <w:r>
        <w:t>recommended — verify the entire medical statement against the original, particularly the final sentence, identifier and signature.</w:t>
      </w:r>
    </w:p>
    <w:p>
      <w:pPr>
        <w:pStyle w:val="Heading1"/>
      </w:pPr>
      <w:r>
        <w:t>Identified risks</w:t>
      </w:r>
    </w:p>
    <w:p>
      <w:r>
        <w:rPr>
          <w:b/>
        </w:rPr>
        <w:t xml:space="preserve">illegible locations: </w:t>
      </w:r>
      <w:r>
        <w:t>Page 1 signature is [ILLEGIBLE]; no textual identification is inferred from Dr. Sara Nava’s stamp.</w:t>
      </w:r>
    </w:p>
    <w:p>
      <w:r>
        <w:rPr>
          <w:b/>
        </w:rPr>
        <w:t xml:space="preserve">uncertain OCR recognitions: </w:t>
      </w:r>
      <w:r>
        <w:t>Page 1 final ho ritenuto versus ha ritenuto changes the subject; C.F. NVA SRA 97B42 E507J is the unverified best reading, especially B42. No checksum-based correction was performed.</w:t>
      </w:r>
    </w:p>
    <w:p>
      <w:r>
        <w:rPr>
          <w:b/>
        </w:rPr>
        <w:t xml:space="preserve">ambiguous technical terms: </w:t>
      </w:r>
      <w:r>
        <w:t>spirale is translated as IUD, verified by the source’s explicit IUD in the same clinical context. applicatore remains applicator rather than an unsupported product-specific substitution. No attached binding glossary or glossary conflict was identified.</w:t>
      </w:r>
    </w:p>
    <w:p>
      <w:r>
        <w:rPr>
          <w:b/>
        </w:rPr>
        <w:t xml:space="preserve">abbreviations that cannot be resolved: </w:t>
      </w:r>
      <w:r>
        <w:t>O.M. and C.F. are retained without independently verified expansions. IUD is retained, not expanded.</w:t>
      </w:r>
    </w:p>
    <w:p>
      <w:r>
        <w:rPr>
          <w:b/>
        </w:rPr>
        <w:t xml:space="preserve">difficult tables: </w:t>
      </w:r>
      <w:r>
        <w:t>None in source. The only translation DOCX table is the required preamble Trustworthiness table.</w:t>
      </w:r>
    </w:p>
    <w:p>
      <w:r>
        <w:rPr>
          <w:b/>
        </w:rPr>
        <w:t xml:space="preserve">text in images that cannot be replaced: </w:t>
      </w:r>
      <w:r>
        <w:t>The source is wholly raster. Visible text is reconstructed in English. The existing opaque redaction remains an opaque graphic; Markdown uses [IMAGE] with no invented caption or redaction label. Concealed text is neither recovered nor represented.</w:t>
      </w:r>
    </w:p>
    <w:p>
      <w:r>
        <w:rPr>
          <w:b/>
        </w:rPr>
        <w:t xml:space="preserve">layout deviations: </w:t>
      </w:r>
      <w:r>
        <w:t>DOCX typography, line breaks and positions approximate the handwriting. Stamp text is rebuilt in black without the original signature overlap. Signature is a blue textual [ILLEGIBLE] placeholder rather than a facsimile.</w:t>
      </w:r>
    </w:p>
    <w:p>
      <w:pPr>
        <w:pStyle w:val="Heading1"/>
      </w:pPr>
      <w:r>
        <w:t>Locations to be checked manually</w:t>
      </w:r>
    </w:p>
    <w:p>
      <w:r>
        <w:t>All five commented locations are listed below, including reliably recognized handwritten passages. The contiguous main certification has one comment spanning both handwritten segments before and after the redaction (state segment indices 1 and 3); it is not two independent comments. Every UNCLEAR/ILLEGIBLE location is covered.</w:t>
      </w:r>
    </w:p>
    <w:p>
      <w:pPr>
        <w:pStyle w:val="Heading2"/>
      </w:pPr>
      <w:r>
        <w:t>1. Place and date</w:t>
      </w:r>
    </w:p>
    <w:p>
      <w:r>
        <w:rPr>
          <w:b/>
        </w:rPr>
        <w:t xml:space="preserve">page: </w:t>
      </w:r>
      <w:r>
        <w:t>1</w:t>
      </w:r>
    </w:p>
    <w:p>
      <w:r>
        <w:rPr>
          <w:b/>
        </w:rPr>
        <w:t xml:space="preserve">position or section: </w:t>
      </w:r>
      <w:r>
        <w:t>Place and date</w:t>
      </w:r>
    </w:p>
    <w:p>
      <w:r>
        <w:rPr>
          <w:b/>
        </w:rPr>
        <w:t xml:space="preserve">source: </w:t>
      </w:r>
      <w:r>
        <w:t>handwriting</w:t>
      </w:r>
    </w:p>
    <w:p>
      <w:r>
        <w:rPr>
          <w:b/>
        </w:rPr>
        <w:t xml:space="preserve">source text, as far as legible: </w:t>
      </w:r>
      <w:r>
        <w:t>Lecco, 30/04/2026</w:t>
      </w:r>
    </w:p>
    <w:p>
      <w:r>
        <w:rPr>
          <w:b/>
        </w:rPr>
        <w:t xml:space="preserve">English translation: </w:t>
      </w:r>
      <w:r>
        <w:t>Lecco, 30/04/2026</w:t>
      </w:r>
    </w:p>
    <w:p>
      <w:r>
        <w:rPr>
          <w:b/>
        </w:rPr>
        <w:t xml:space="preserve">type of uncertainty: </w:t>
      </w:r>
      <w:r>
        <w:t>None identified; high-confidence handwriting.</w:t>
      </w:r>
    </w:p>
    <w:p>
      <w:r>
        <w:rPr>
          <w:b/>
        </w:rPr>
        <w:t xml:space="preserve">recommended check: </w:t>
      </w:r>
      <w:r>
        <w:t>Verify Lecco and date 30/04/2026 against the original top-right line.</w:t>
      </w:r>
    </w:p>
    <w:p>
      <w:pPr>
        <w:pStyle w:val="Heading2"/>
      </w:pPr>
      <w:r>
        <w:t>2. Main certification — before and after redaction</w:t>
      </w:r>
    </w:p>
    <w:p>
      <w:r>
        <w:rPr>
          <w:b/>
        </w:rPr>
        <w:t xml:space="preserve">page: </w:t>
      </w:r>
      <w:r>
        <w:t>1</w:t>
      </w:r>
    </w:p>
    <w:p>
      <w:r>
        <w:rPr>
          <w:b/>
        </w:rPr>
        <w:t xml:space="preserve">position or section: </w:t>
      </w:r>
      <w:r>
        <w:t>Main certification — before and after redaction</w:t>
      </w:r>
    </w:p>
    <w:p>
      <w:r>
        <w:rPr>
          <w:b/>
        </w:rPr>
        <w:t xml:space="preserve">source: </w:t>
      </w:r>
      <w:r>
        <w:t>handwriting</w:t>
      </w:r>
    </w:p>
    <w:p>
      <w:r>
        <w:rPr>
          <w:b/>
        </w:rPr>
        <w:t xml:space="preserve">source text, as far as legible: </w:t>
      </w:r>
      <w:r>
        <w:t>Certifico che in data 29/04/2026 ho riscontrato un difetto nel dispositivo Kyleena lotto n° TU04RT2 scadenza 04/2028. Nel dettaglio, nel tentativo di introdurre la spirale alla sig.na [preexisting opaque redaction] si è verificato un blocco dell’applicatore che mi ha impedito di rilasciare la IUD sul fondo uterino. Essendo la spirale già contaminata da materiale biologico, ho ritenuto opportuno non conservarla.</w:t>
      </w:r>
    </w:p>
    <w:p>
      <w:r>
        <w:rPr>
          <w:b/>
        </w:rPr>
        <w:t xml:space="preserve">English translation: </w:t>
      </w:r>
      <w:r>
        <w:t>I certify that on 29/04/2026 I found a defect in the Kyleena device, lot no. TU04RT2, expiration 04/2028. Specifically, while attempting to insert the IUD in Ms. [preexisting opaque redaction] the applicator jammed, preventing me from releasing the IUD at the uterine fundus. As the IUD had already been contaminated with biological material, I considered it appropriate not to retain it.</w:t>
      </w:r>
    </w:p>
    <w:p>
      <w:r>
        <w:rPr>
          <w:b/>
        </w:rPr>
        <w:t xml:space="preserve">type of uncertainty: </w:t>
      </w:r>
      <w:r>
        <w:t>UNCLEAR: final ho ritenuto opportuno non conservarla; alternative ha ritenuto opportuno non conservarla changes the subject. Other main-block text is readable; lot checked at 1120 DPI.</w:t>
      </w:r>
    </w:p>
    <w:p>
      <w:r>
        <w:rPr>
          <w:b/>
        </w:rPr>
        <w:t xml:space="preserve">recommended check: </w:t>
      </w:r>
      <w:r>
        <w:t>Verify all certification statements, TU04RT2 and expiration 04/2028, and especially ho versus ha in the final sentence against the original. Final-sentence crop: 345 DPI.</w:t>
      </w:r>
    </w:p>
    <w:p>
      <w:pPr>
        <w:pStyle w:val="Heading2"/>
      </w:pPr>
      <w:r>
        <w:t>3. Closing</w:t>
      </w:r>
    </w:p>
    <w:p>
      <w:r>
        <w:rPr>
          <w:b/>
        </w:rPr>
        <w:t xml:space="preserve">page: </w:t>
      </w:r>
      <w:r>
        <w:t>1</w:t>
      </w:r>
    </w:p>
    <w:p>
      <w:r>
        <w:rPr>
          <w:b/>
        </w:rPr>
        <w:t xml:space="preserve">position or section: </w:t>
      </w:r>
      <w:r>
        <w:t>Closing</w:t>
      </w:r>
    </w:p>
    <w:p>
      <w:r>
        <w:rPr>
          <w:b/>
        </w:rPr>
        <w:t xml:space="preserve">source: </w:t>
      </w:r>
      <w:r>
        <w:t>handwriting</w:t>
      </w:r>
    </w:p>
    <w:p>
      <w:r>
        <w:rPr>
          <w:b/>
        </w:rPr>
        <w:t xml:space="preserve">source text, as far as legible: </w:t>
      </w:r>
      <w:r>
        <w:t>In fede</w:t>
      </w:r>
    </w:p>
    <w:p>
      <w:r>
        <w:rPr>
          <w:b/>
        </w:rPr>
        <w:t xml:space="preserve">English translation: </w:t>
      </w:r>
      <w:r>
        <w:t>Yours faithfully,</w:t>
      </w:r>
    </w:p>
    <w:p>
      <w:r>
        <w:rPr>
          <w:b/>
        </w:rPr>
        <w:t xml:space="preserve">type of uncertainty: </w:t>
      </w:r>
      <w:r>
        <w:t>None identified; high-confidence handwriting.</w:t>
      </w:r>
    </w:p>
    <w:p>
      <w:r>
        <w:rPr>
          <w:b/>
        </w:rPr>
        <w:t xml:space="preserve">recommended check: </w:t>
      </w:r>
      <w:r>
        <w:t>Verify In fede and suitability of the formal certification closing.</w:t>
      </w:r>
    </w:p>
    <w:p>
      <w:pPr>
        <w:pStyle w:val="Heading2"/>
      </w:pPr>
      <w:r>
        <w:t>4. Stamp fiscal identifier</w:t>
      </w:r>
    </w:p>
    <w:p>
      <w:r>
        <w:rPr>
          <w:b/>
        </w:rPr>
        <w:t xml:space="preserve">page: </w:t>
      </w:r>
      <w:r>
        <w:t>1</w:t>
      </w:r>
    </w:p>
    <w:p>
      <w:r>
        <w:rPr>
          <w:b/>
        </w:rPr>
        <w:t xml:space="preserve">position or section: </w:t>
      </w:r>
      <w:r>
        <w:t>Stamp fiscal identifier</w:t>
      </w:r>
    </w:p>
    <w:p>
      <w:r>
        <w:rPr>
          <w:b/>
        </w:rPr>
        <w:t xml:space="preserve">source: </w:t>
      </w:r>
      <w:r>
        <w:t>stamp</w:t>
      </w:r>
    </w:p>
    <w:p>
      <w:r>
        <w:rPr>
          <w:b/>
        </w:rPr>
        <w:t xml:space="preserve">source text, as far as legible: </w:t>
      </w:r>
      <w:r>
        <w:t>C.F. NVA SRA 97B42 E507J</w:t>
      </w:r>
    </w:p>
    <w:p>
      <w:r>
        <w:rPr>
          <w:b/>
        </w:rPr>
        <w:t xml:space="preserve">English translation: </w:t>
      </w:r>
      <w:r>
        <w:t>C.F. NVA SRA 97B42 E507J</w:t>
      </w:r>
    </w:p>
    <w:p>
      <w:r>
        <w:rPr>
          <w:b/>
        </w:rPr>
        <w:t xml:space="preserve">type of uncertainty: </w:t>
      </w:r>
      <w:r>
        <w:t>UNCLEAR: signature overlaps fiscal identifier, particularly B42. Best reading C.F. NVA SRA 97B42 E507J; no reliably established alternative.</w:t>
      </w:r>
    </w:p>
    <w:p>
      <w:r>
        <w:rPr>
          <w:b/>
        </w:rPr>
        <w:t xml:space="preserve">recommended check: </w:t>
      </w:r>
      <w:r>
        <w:t>Verify every character against the original stamp or an authoritative record. Retain current reading verbatim pending review; do not infer or checksum-correct. Crop: 820 DPI.</w:t>
      </w:r>
    </w:p>
    <w:p>
      <w:pPr>
        <w:pStyle w:val="Heading2"/>
      </w:pPr>
      <w:r>
        <w:t>5. Signature</w:t>
      </w:r>
    </w:p>
    <w:p>
      <w:r>
        <w:rPr>
          <w:b/>
        </w:rPr>
        <w:t xml:space="preserve">page: </w:t>
      </w:r>
      <w:r>
        <w:t>1</w:t>
      </w:r>
    </w:p>
    <w:p>
      <w:r>
        <w:rPr>
          <w:b/>
        </w:rPr>
        <w:t xml:space="preserve">position or section: </w:t>
      </w:r>
      <w:r>
        <w:t>Signature</w:t>
      </w:r>
    </w:p>
    <w:p>
      <w:r>
        <w:rPr>
          <w:b/>
        </w:rPr>
        <w:t xml:space="preserve">source: </w:t>
      </w:r>
      <w:r>
        <w:t>signature</w:t>
      </w:r>
    </w:p>
    <w:p>
      <w:r>
        <w:rPr>
          <w:b/>
        </w:rPr>
        <w:t xml:space="preserve">source text, as far as legible: </w:t>
      </w:r>
      <w:r>
        <w:t>[ILLEGIBLE]</w:t>
      </w:r>
    </w:p>
    <w:p>
      <w:r>
        <w:rPr>
          <w:b/>
        </w:rPr>
        <w:t xml:space="preserve">English translation: </w:t>
      </w:r>
      <w:r>
        <w:t>[ILLEGIBLE]</w:t>
      </w:r>
    </w:p>
    <w:p>
      <w:r>
        <w:rPr>
          <w:b/>
        </w:rPr>
        <w:t xml:space="preserve">type of uncertainty: </w:t>
      </w:r>
      <w:r>
        <w:t>ILLEGIBLE: stylized overlapping strokes; no meaningful textual reading.</w:t>
      </w:r>
    </w:p>
    <w:p>
      <w:r>
        <w:rPr>
          <w:b/>
        </w:rPr>
        <w:t xml:space="preserve">recommended check: </w:t>
      </w:r>
      <w:r>
        <w:t>Verify the original signature block and authorship through an authoritative source; do not infer the signature from the stamp name. Crop: 820 DPI.</w:t>
      </w:r>
    </w:p>
    <w:p>
      <w:pPr>
        <w:pStyle w:val="Heading1"/>
      </w:pPr>
      <w:r>
        <w:t>Untranslated content</w:t>
      </w:r>
    </w:p>
    <w:p>
      <w:r>
        <w:t>Deliberately retained verbatim: proper names Lecco, Sara Nava and Kyleena; lot identifier TU04RT2; registration identifier 02404; fiscal identifier C.F. NVA SRA 97B42 E507J; abbreviations O.M., C.F. and IUD. Identifiers are not translated, expanded or corrected by checksum or inferred demographics. Dates 30/04/2026 and 29/04/2026 remain dd/mm/yyyy; expiration 04/2028 remains mm/yyyy. No substantive Italian remnants remain other than proper names, codes and retained abbreviations. Honorifics and medical qualification text are translated. Redacted content has no visible text to translate; the signature is represented by [ILLEGIBLE].</w:t>
      </w:r>
    </w:p>
    <w:p>
      <w:pPr>
        <w:pStyle w:val="Heading1"/>
      </w:pPr>
      <w:r>
        <w:t>Limitations</w:t>
      </w:r>
    </w:p>
    <w:p>
      <w:r>
        <w:t>Level 1 Word comments was technically available and used for all required blocks and uncertain locations; no level 2 or level 3 fallback was needed. The real preamble footnote is a report reference, not a comments fallback. Five comments have five anchor ranges and five references, author AI Translation and initials AI.</w:t>
      </w:r>
    </w:p>
    <w:p>
      <w:r>
        <w:t>The original scan limits character verification. The fiscal identifier remains unverified and signature remains illegible; full confidence in authorship or those characters cannot be established technically from this input. The final ho/ha reading requires human confirmation. Exact original handwriting, stamp overlap and signature facsimile were not recreated. Medical validity and approval are outside the translation quality estimate and require appropriately qualified review.</w:t>
      </w:r>
    </w:p>
    <w:p>
      <w:r>
        <w:t>The exact ChatGPT version is not exposed and is not invented. Processing followed sequential stages E1–E5 in staged calls without interruption; this call executed E5 only. Completed E3 and E4 translation files were inspected but not rewritten. E3 validated two output pages: one preamble page and one translated source page; E5 reused that validation without rerendering.</w:t>
      </w:r>
    </w:p>
    <w:p>
      <w:pPr>
        <w:pStyle w:val="Heading1"/>
      </w:pPr>
      <w:r>
        <w:t>Consistency reconciliation of the markings</w:t>
      </w:r>
    </w:p>
    <w:p>
      <w:r>
        <w:t>PASS — Programmatic source page count 1 = processed pages 1 = report source-page assessment entries 1.</w:t>
      </w:r>
    </w:p>
    <w:p>
      <w:r>
        <w:t>PASS — The sole scanned source page was rendered once at 300 DPI in E1; E5 did not rerender. Fresh crop records: lot 1120 DPI, stamp/signature 820 DPI, final sentence 345 DPI.</w:t>
      </w:r>
    </w:p>
    <w:p>
      <w:r>
        <w:t>PASS — Five HANDWRITING/SIGNATURE segments match five blue DOCX segments and exactly five Markdown [HW]…[/HW] pairs. Stamp segments remain black.</w:t>
      </w:r>
    </w:p>
    <w:p>
      <w:r>
        <w:t>PASS — Comments per page total 5 = report total 5 = five comment objects = five anchor starts/ends/references. Main certification has one contiguous anchor over both handwritten segments and the redaction.</w:t>
      </w:r>
    </w:p>
    <w:p>
      <w:r>
        <w:t>PASS — Both UNCLEAR locations (final ho/ha and fiscal identifier) and the ILLEGIBLE signature have comments, Markdown markers and manual-review entries. All five commented locations are listed.</w:t>
      </w:r>
    </w:p>
    <w:p>
      <w:r>
        <w:t>PASS — Nine nonempty segment translations are present in both DOCX and Markdown. Numbers, names, dates, codes, reading order, negation not to retain it and medical relationships agree. No substantive unintentional untranslated remnants or garbled OCR artifacts were carried over.</w:t>
      </w:r>
    </w:p>
    <w:p>
      <w:r>
        <w:t>PASS — Source/translated-body headings 0 and tables 0; no displaced tables, omitted cells, headers, footers or TOC. No missing or visibly truncated textual content was identified. Reconstructed layout is approximate, not a facsimile.</w:t>
      </w:r>
    </w:p>
    <w:p>
      <w:r>
        <w:t>PASS — Markdown has no preamble content; frontmatter is metadata only. [IMAGE] preserves the redaction location without an added label or inferred concealed text. Stamp and uncertainty markers follow the required mapping.</w:t>
      </w:r>
    </w:p>
    <w:p>
      <w:r>
        <w:t>PASS — Trustworthiness has exactly one page data row plus Total (document): page 1 79% with review recommended; total 50% with comprehensive review required. Values equal Phases 8–9.</w:t>
      </w:r>
    </w:p>
    <w:p>
      <w:r>
        <w:t>PASS — E3 validated one real report-reference footnote and two translated output pages (one preamble plus one source page). E5 independently checked the footnote reference and report filename.</w:t>
      </w:r>
    </w:p>
    <w:p>
      <w:r>
        <w:t>PASS — Section-by-section back-comparison covered all nine visible text translations and the redaction. No clearly identified content error required correction, so no rewritten translation or redundant second pass was necessary.</w:t>
      </w:r>
    </w:p>
    <w:sectPr w:rsidR="00FC693F" w:rsidRPr="0006063C" w:rsidSect="00034616">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