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pPr>
      <w:r>
        <w:rPr>
          <w:b/>
          <w:color w:val="666666"/>
          <w:sz w:val="20"/>
        </w:rPr>
        <w:t>AI-Generated Translation Disclaimer</w:t>
      </w:r>
    </w:p>
    <w:p>
      <w:pPr>
        <w:spacing w:line="259" w:lineRule="auto"/>
      </w:pPr>
      <w:r>
        <w:rPr>
          <w:b w:val="0"/>
          <w:color w:val="666666"/>
          <w:sz w:val="20"/>
        </w:rPr>
        <w:t>This document has been translated into English using a fully automated Artificial Intelligence (AI)-based translation process.</w:t>
      </w:r>
    </w:p>
    <w:p>
      <w:pPr>
        <w:spacing w:line="259" w:lineRule="auto"/>
      </w:pPr>
      <w:r>
        <w:rPr>
          <w:b w:val="0"/>
          <w:color w:val="666666"/>
          <w:sz w:val="20"/>
        </w:rPr>
        <w:t>Reasonable efforts have been made by the solution developers and prompt engineers to ensure the accurate extraction, interpretation, and translation of content originating from machine-generated and handwritten source documents. However, the completeness, accuracy, and fidelity of the extracted and translated content cannot be guaranteed.</w:t>
      </w:r>
    </w:p>
    <w:p>
      <w:pPr>
        <w:spacing w:line="259" w:lineRule="auto"/>
      </w:pPr>
      <w:r>
        <w:rPr>
          <w:b w:val="0"/>
          <w:color w:val="666666"/>
          <w:sz w:val="20"/>
        </w:rPr>
        <w:t>The AI-based translation process has not been validated to demonstrate error-free extraction or translation of all source content. Consequently, omissions, inaccuracies, formatting discrepancies, or misinterpretations may be present in the generated output. Prior to use, this document shall be reviewed, and verified by appropriately qualified personnel to confirm that the translated content is complete, accurate, and suitable for its intended purpose.</w:t>
      </w:r>
    </w:p>
    <w:p>
      <w:pPr>
        <w:spacing w:line="259" w:lineRule="auto"/>
      </w:pPr>
      <w:r>
        <w:rPr>
          <w:b w:val="0"/>
          <w:color w:val="666666"/>
          <w:sz w:val="20"/>
        </w:rPr>
        <w:t>The output of the AI-based translation process shall not be considered an approved or authoritative record until such verification and approval have been completed. The ultimate responsibility for the review, verification, approval, and use of the translated content remains with the document owner and the designated business user.</w:t>
      </w:r>
    </w:p>
    <w:p>
      <w:pPr>
        <w:spacing w:line="259" w:lineRule="auto"/>
      </w:pPr>
      <w:r>
        <w:rPr>
          <w:b w:val="0"/>
          <w:color w:val="666666"/>
          <w:sz w:val="20"/>
        </w:rPr>
        <w:t>AI Model: ChatGPT (exact model/version not exposed)</w:t>
      </w:r>
    </w:p>
    <w:p>
      <w:pPr>
        <w:spacing w:line="259" w:lineRule="auto"/>
      </w:pPr>
      <w:r>
        <w:rPr>
          <w:b w:val="0"/>
          <w:color w:val="666666"/>
          <w:sz w:val="20"/>
        </w:rPr>
        <w:t>Prompt File: prompt.en.0.7.md</w:t>
      </w:r>
    </w:p>
    <w:p>
      <w:pPr>
        <w:spacing w:line="259" w:lineRule="auto"/>
      </w:pPr>
      <w:r>
        <w:rPr>
          <w:b w:val="0"/>
          <w:color w:val="666666"/>
          <w:sz w:val="20"/>
        </w:rPr>
        <w:t>Prompt File Version: 0.7</w:t>
      </w:r>
    </w:p>
    <w:p>
      <w:pPr>
        <w:spacing w:line="259" w:lineRule="auto"/>
      </w:pPr>
      <w:r>
        <w:rPr>
          <w:b/>
          <w:color w:val="666666"/>
          <w:sz w:val="20"/>
        </w:rPr>
        <w:t>Legend</w:t>
      </w:r>
    </w:p>
    <w:p>
      <w:pPr>
        <w:spacing w:line="259" w:lineRule="auto"/>
      </w:pPr>
      <w:r>
        <w:rPr>
          <w:b w:val="0"/>
          <w:color w:val="666666"/>
          <w:sz w:val="20"/>
        </w:rPr>
        <w:t>Text displayed in blue was transcribed from handwritten source content, including signatures. Printed, machine-readable and stamped content is shown in its original color.</w:t>
      </w:r>
    </w:p>
    <w:p>
      <w:pPr>
        <w:spacing w:line="259" w:lineRule="auto"/>
      </w:pPr>
      <w:r>
        <w:rPr>
          <w:b w:val="0"/>
          <w:color w:val="666666"/>
          <w:sz w:val="20"/>
        </w:rPr>
        <w:t>Word comments provide, for each handwritten passage, the source text and the recognition confidence. Where recognition was uncertain or impossible, the comment is marked [UNCLEAR] or [ILLEGIBLE] and additionally states the nature of the problem and the recommended verification.</w:t>
      </w:r>
    </w:p>
    <w:p>
      <w:pPr>
        <w:spacing w:line="259" w:lineRule="auto"/>
      </w:pPr>
      <w:r>
        <w:rPr>
          <w:b w:val="0"/>
          <w:color w:val="666666"/>
          <w:sz w:val="20"/>
        </w:rPr>
        <w:t>Passages marked [ILLEGIBLE] could not be read at all. All commented passages are also listed in the accompanying quality report.</w:t>
      </w:r>
    </w:p>
    <w:p>
      <w:pPr>
        <w:spacing w:line="259" w:lineRule="auto"/>
      </w:pPr>
      <w:r>
        <w:rPr>
          <w:b w:val="0"/>
          <w:color w:val="666666"/>
          <w:sz w:val="20"/>
        </w:rPr>
        <w:t>Translator's note: Source document 002.pdf is in Italian. Target: American English. This is a reconstructed, translated rendering of the source document.</w:t>
      </w:r>
    </w:p>
    <w:p>
      <w:pPr>
        <w:spacing w:line="259" w:lineRule="auto"/>
      </w:pPr>
      <w:r>
        <w:rPr>
          <w:b/>
          <w:color w:val="666666"/>
          <w:sz w:val="20"/>
        </w:rPr>
        <w:t>Trustworthiness</w:t>
      </w:r>
    </w:p>
    <w:p>
      <w:pPr>
        <w:spacing w:line="259" w:lineRule="auto"/>
      </w:pPr>
      <w:r>
        <w:rPr>
          <w:b w:val="0"/>
          <w:color w:val="666666"/>
          <w:sz w:val="20"/>
        </w:rPr>
        <w:t>The following table indicates the estimated reliability of the translated content for each page of this document.</w:t>
      </w:r>
      <w:r>
        <w:rPr>
          <w:vertAlign w:val="superscript"/>
        </w:rPr>
        <w:footnoteReference w:id="1"/>
      </w:r>
    </w:p>
    <w:tbl>
      <w:tblPr>
        <w:tblW w:type="auto" w:w="0"/>
        <w:tblLayout w:type="fixed"/>
        <w:tblLook w:firstColumn="1" w:firstRow="1" w:lastColumn="0" w:lastRow="0" w:noHBand="0" w:noVBand="1" w:val="04A0"/>
        <w:tblBorders>
          <w:top w:val="single" w:sz="4" w:color="666666"/>
          <w:left w:val="single" w:sz="4" w:color="666666"/>
          <w:bottom w:val="single" w:sz="4" w:color="666666"/>
          <w:right w:val="single" w:sz="4" w:color="666666"/>
          <w:insideH w:val="single" w:sz="4" w:color="666666"/>
          <w:insideV w:val="single" w:sz="4" w:color="666666"/>
        </w:tblBorders>
      </w:tblPr>
      <w:tblGrid>
        <w:gridCol w:w="1700"/>
        <w:gridCol w:w="1500"/>
        <w:gridCol w:w="5600"/>
        <w:gridCol w:w="1700"/>
      </w:tblGrid>
      <w:tr>
        <w:tc>
          <w:tcPr>
            <w:tcW w:type="dxa" w:w="1700"/>
          </w:tcPr>
          <w:p>
            <w:pPr>
              <w:spacing w:after="60" w:before="60"/>
            </w:pPr>
            <w:r>
              <w:rPr>
                <w:b/>
                <w:color w:val="666666"/>
                <w:sz w:val="18"/>
              </w:rPr>
              <w:t>Page</w:t>
            </w:r>
          </w:p>
        </w:tc>
        <w:tc>
          <w:tcPr>
            <w:tcW w:type="dxa" w:w="1500"/>
          </w:tcPr>
          <w:p>
            <w:pPr>
              <w:spacing w:after="60" w:before="60"/>
            </w:pPr>
            <w:r>
              <w:rPr>
                <w:b/>
                <w:color w:val="666666"/>
                <w:sz w:val="18"/>
              </w:rPr>
              <w:t>Confidence</w:t>
            </w:r>
          </w:p>
        </w:tc>
        <w:tc>
          <w:tcPr>
            <w:tcW w:type="dxa" w:w="5600"/>
          </w:tcPr>
          <w:p>
            <w:pPr>
              <w:spacing w:after="60" w:before="60"/>
            </w:pPr>
            <w:r>
              <w:rPr>
                <w:b/>
                <w:color w:val="666666"/>
                <w:sz w:val="18"/>
              </w:rPr>
              <w:t>Quality level</w:t>
            </w:r>
          </w:p>
        </w:tc>
        <w:tc>
          <w:tcPr>
            <w:tcW w:type="dxa" w:w="1700"/>
          </w:tcPr>
          <w:p>
            <w:pPr>
              <w:spacing w:after="60" w:before="60"/>
            </w:pPr>
            <w:r>
              <w:rPr>
                <w:b/>
                <w:color w:val="666666"/>
                <w:sz w:val="18"/>
              </w:rPr>
              <w:t>Manual review</w:t>
            </w:r>
          </w:p>
        </w:tc>
      </w:tr>
      <w:tr>
        <w:tc>
          <w:tcPr>
            <w:tcW w:type="dxa" w:w="1700"/>
          </w:tcPr>
          <w:p>
            <w:pPr>
              <w:spacing w:after="60" w:before="60"/>
            </w:pPr>
            <w:r>
              <w:rPr>
                <w:b w:val="0"/>
                <w:color w:val="666666"/>
                <w:sz w:val="18"/>
              </w:rPr>
              <w:t>1</w:t>
            </w:r>
          </w:p>
        </w:tc>
        <w:tc>
          <w:tcPr>
            <w:tcW w:type="dxa" w:w="1500"/>
          </w:tcPr>
          <w:p>
            <w:pPr>
              <w:spacing w:after="60" w:before="60"/>
            </w:pPr>
            <w:r>
              <w:rPr>
                <w:b w:val="0"/>
                <w:color w:val="666666"/>
                <w:sz w:val="18"/>
              </w:rPr>
              <w:t>79%</w:t>
            </w:r>
          </w:p>
        </w:tc>
        <w:tc>
          <w:tcPr>
            <w:tcW w:type="dxa" w:w="5600"/>
          </w:tcPr>
          <w:p>
            <w:pPr>
              <w:spacing w:after="60" w:before="60"/>
            </w:pPr>
            <w:r>
              <w:rPr>
                <w:b w:val="0"/>
                <w:color w:val="666666"/>
                <w:sz w:val="18"/>
              </w:rPr>
              <w:t>limited quality, technical re-examination recommended</w:t>
            </w:r>
          </w:p>
        </w:tc>
        <w:tc>
          <w:tcPr>
            <w:tcW w:type="dxa" w:w="1700"/>
          </w:tcPr>
          <w:p>
            <w:pPr>
              <w:spacing w:after="60" w:before="60"/>
            </w:pPr>
            <w:r>
              <w:rPr>
                <w:b w:val="0"/>
                <w:color w:val="666666"/>
                <w:sz w:val="18"/>
              </w:rPr>
              <w:t>recommended</w:t>
            </w:r>
          </w:p>
        </w:tc>
      </w:tr>
      <w:tr>
        <w:tc>
          <w:tcPr>
            <w:tcW w:type="dxa" w:w="1700"/>
          </w:tcPr>
          <w:p>
            <w:pPr>
              <w:spacing w:after="60" w:before="60"/>
            </w:pPr>
            <w:r>
              <w:rPr>
                <w:b/>
                <w:color w:val="666666"/>
                <w:sz w:val="18"/>
              </w:rPr>
              <w:t>Total (document)</w:t>
            </w:r>
          </w:p>
        </w:tc>
        <w:tc>
          <w:tcPr>
            <w:tcW w:type="dxa" w:w="1500"/>
          </w:tcPr>
          <w:p>
            <w:pPr>
              <w:spacing w:after="60" w:before="60"/>
            </w:pPr>
            <w:r>
              <w:rPr>
                <w:b/>
                <w:color w:val="666666"/>
                <w:sz w:val="18"/>
              </w:rPr>
              <w:t>50%</w:t>
            </w:r>
          </w:p>
        </w:tc>
        <w:tc>
          <w:tcPr>
            <w:tcW w:type="dxa" w:w="5600"/>
          </w:tcPr>
          <w:p>
            <w:pPr>
              <w:spacing w:after="60" w:before="60"/>
            </w:pPr>
            <w:r>
              <w:rPr>
                <w:b/>
                <w:color w:val="666666"/>
                <w:sz w:val="18"/>
              </w:rPr>
              <w:t>significant uncertainties, comprehensive review required</w:t>
            </w:r>
          </w:p>
        </w:tc>
        <w:tc>
          <w:tcPr>
            <w:tcW w:type="dxa" w:w="1700"/>
          </w:tcPr>
          <w:p>
            <w:pPr>
              <w:spacing w:after="60" w:before="60"/>
            </w:pPr>
            <w:r>
              <w:rPr>
                <w:b/>
                <w:color w:val="666666"/>
                <w:sz w:val="18"/>
              </w:rPr>
              <w:t>recommended</w:t>
            </w:r>
          </w:p>
        </w:tc>
      </w:tr>
    </w:tbl>
    <w:p>
      <w:pPr>
        <w:sectPr>
          <w:pgSz w:w="11906" w:h="16838"/>
          <w:pgMar w:top="800" w:right="700" w:bottom="800" w:left="700" w:header="720" w:footer="720" w:gutter="0"/>
          <w:cols w:space="720"/>
          <w:docGrid w:linePitch="360"/>
        </w:sectPr>
      </w:pPr>
    </w:p>
    <w:p>
      <w:pPr>
        <w:spacing w:line="360" w:lineRule="exact" w:after="1440" w:before="0"/>
        <w:jc w:val="right"/>
      </w:pPr>
      <w:commentRangeStart w:id="0"/>
      <w:r>
        <w:rPr>
          <w:b w:val="0"/>
          <w:color w:val="1F3FA8"/>
          <w:sz w:val="32"/>
        </w:rPr>
        <w:t>Lecco, 30/04/2026</w:t>
      </w:r>
      <w:commentRangeEnd w:id="0"/>
      <w:r>
        <w:rPr>
          <w:rStyle w:val="CommentReference"/>
        </w:rPr>
        <w:commentReference w:id="0"/>
      </w:r>
    </w:p>
    <w:p>
      <w:pPr>
        <w:spacing w:line="600" w:lineRule="exact" w:after="0" w:before="0"/>
        <w:jc w:val="left"/>
      </w:pPr>
      <w:commentRangeStart w:id="1"/>
      <w:r>
        <w:rPr>
          <w:b w:val="0"/>
          <w:color w:val="1F3FA8"/>
          <w:sz w:val="32"/>
        </w:rPr>
        <w:t>I certify that on 29/04/2026 I found</w:t>
        <w:br/>
        <w:t>a defect in the Kyleena device,</w:t>
        <w:br/>
        <w:t>lot no. TU04RT2, expiration 04/2028.</w:t>
        <w:br/>
        <w:t>Specifically, while attempting to</w:t>
        <w:br/>
        <w:t>insert the IUD in Ms.</w:t>
        <w:br/>
      </w:r>
      <w:r>
        <w:drawing>
          <wp:inline xmlns:a="http://schemas.openxmlformats.org/drawingml/2006/main" xmlns:pic="http://schemas.openxmlformats.org/drawingml/2006/picture">
            <wp:extent cx="2641600" cy="419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41600" cy="419100"/>
                    </a:xfrm>
                    <a:prstGeom prst="rect"/>
                  </pic:spPr>
                </pic:pic>
              </a:graphicData>
            </a:graphic>
          </wp:inline>
        </w:drawing>
      </w:r>
      <w:r>
        <w:rPr>
          <w:b w:val="0"/>
          <w:color w:val="1F3FA8"/>
          <w:sz w:val="32"/>
        </w:rPr>
        <w:t xml:space="preserve"> the applicator jammed,</w:t>
        <w:br/>
        <w:t>preventing me from releasing the IUD</w:t>
        <w:br/>
        <w:t>at the uterine fundus. As the IUD had</w:t>
        <w:br/>
        <w:t>already been contaminated with biological</w:t>
        <w:br/>
        <w:t>material, I considered it appropriate</w:t>
        <w:br/>
        <w:t>not to retain it.</w:t>
      </w:r>
      <w:commentRangeEnd w:id="1"/>
      <w:r>
        <w:rPr>
          <w:rStyle w:val="CommentReference"/>
        </w:rPr>
        <w:commentReference w:id="1"/>
      </w:r>
    </w:p>
    <w:p>
      <w:pPr>
        <w:spacing w:line="440" w:lineRule="exact" w:after="0" w:before="1900"/>
        <w:jc w:val="right"/>
      </w:pPr>
      <w:commentRangeStart w:id="2"/>
      <w:r>
        <w:rPr>
          <w:b w:val="0"/>
          <w:color w:val="1F3FA8"/>
          <w:sz w:val="32"/>
        </w:rPr>
        <w:t>Yours faithfully,</w:t>
      </w:r>
      <w:commentRangeEnd w:id="2"/>
      <w:r>
        <w:rPr>
          <w:rStyle w:val="CommentReference"/>
        </w:rPr>
        <w:commentReference w:id="2"/>
      </w:r>
    </w:p>
    <w:p>
      <w:pPr>
        <w:spacing w:line="300" w:lineRule="exact" w:after="0" w:before="400"/>
        <w:jc w:val="right"/>
      </w:pPr>
      <w:r>
        <w:rPr>
          <w:b w:val="0"/>
          <w:color w:val="000000"/>
          <w:sz w:val="22"/>
        </w:rPr>
        <w:t>Dr. Sara Nava</w:t>
        <w:br/>
      </w:r>
      <w:r>
        <w:rPr>
          <w:b w:val="0"/>
          <w:color w:val="000000"/>
          <w:sz w:val="22"/>
        </w:rPr>
        <w:t>PHYSICIAN AND SURGEON</w:t>
        <w:br/>
      </w:r>
      <w:r>
        <w:rPr>
          <w:b w:val="0"/>
          <w:color w:val="000000"/>
          <w:sz w:val="22"/>
        </w:rPr>
        <w:t>O.M. Lecco no. 02404</w:t>
        <w:br/>
      </w:r>
      <w:commentRangeStart w:id="3"/>
      <w:r>
        <w:rPr>
          <w:b w:val="0"/>
          <w:color w:val="000000"/>
          <w:sz w:val="22"/>
        </w:rPr>
        <w:t>C.F. NVA SRA 97B42 E507J</w:t>
      </w:r>
      <w:commentRangeEnd w:id="3"/>
      <w:r>
        <w:rPr>
          <w:rStyle w:val="CommentReference"/>
        </w:rPr>
        <w:commentReference w:id="3"/>
      </w:r>
    </w:p>
    <w:p>
      <w:pPr>
        <w:spacing w:line="360" w:lineRule="exact" w:after="0" w:before="160"/>
        <w:jc w:val="right"/>
      </w:pPr>
      <w:commentRangeStart w:id="4"/>
      <w:r>
        <w:rPr>
          <w:b w:val="0"/>
          <w:color w:val="1F3FA8"/>
          <w:sz w:val="24"/>
        </w:rPr>
        <w:t>[ILLEGIBLE]</w:t>
      </w:r>
      <w:commentRangeEnd w:id="4"/>
      <w:r>
        <w:rPr>
          <w:rStyle w:val="CommentReference"/>
        </w:rPr>
        <w:commentReference w:id="4"/>
      </w:r>
    </w:p>
    <w:sectPr w:rsidR="00FC693F" w:rsidRPr="0006063C" w:rsidSect="00034616">
      <w:pgSz w:w="11906" w:h="16838"/>
      <w:pgMar w:top="1800" w:right="700" w:bottom="700" w:left="7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 Translation" w:initials="AI" w:date="2026-10-08T15:19:52Z">
    <w:p>
      <w:pPr>
        <w:pStyle w:val="CommentText"/>
      </w:pPr>
      <w:r>
        <w:rPr>
          <w:rStyle w:val="CommentReference"/>
        </w:rPr>
        <w:annotationRef/>
      </w:r>
      <w:r>
        <w:t>[HANDWRITING] — Confidence: high</w:t>
      </w:r>
    </w:p>
    <w:p>
      <w:pPr>
        <w:pStyle w:val="CommentText"/>
      </w:pPr>
      <w:r>
        <w:t>Source text (original language): "Lecco, 30/04/2026"</w:t>
      </w:r>
    </w:p>
    <w:p>
      <w:pPr>
        <w:pStyle w:val="CommentText"/>
      </w:pPr>
      <w:r>
        <w:t>Translation: "Lecco, 30/04/2026"</w:t>
      </w:r>
    </w:p>
  </w:comment>
  <w:comment w:id="1" w:author="AI Translation" w:initials="AI" w:date="2026-10-08T15:19:53Z">
    <w:p>
      <w:pPr>
        <w:pStyle w:val="CommentText"/>
      </w:pPr>
      <w:r>
        <w:rPr>
          <w:rStyle w:val="CommentReference"/>
        </w:rPr>
        <w:annotationRef/>
      </w:r>
      <w:r>
        <w:t>[HANDWRITING] — Confidence: high (before redaction)</w:t>
      </w:r>
    </w:p>
    <w:p>
      <w:pPr>
        <w:pStyle w:val="CommentText"/>
      </w:pPr>
      <w:r>
        <w:t>Source text (original language): "Certifico che in data 29/04/2026 ho riscontrato un difetto nel dispositivo Kyleena lotto n° TU04RT2 scadenza 04/2028. Nel dettaglio, nel tentativo di introdurre la spirale alla sig.na" [Existing opaque black redaction] "si è verificato un blocco dell’applicatore che mi ha impedito di rilasciare la IUD sul fondo uterino. Essendo la spirale già contaminata da materiale biologico, ho ritenuto opportuno non conservarla."</w:t>
      </w:r>
    </w:p>
    <w:p>
      <w:pPr>
        <w:pStyle w:val="CommentText"/>
      </w:pPr>
      <w:r>
        <w:t>Translation: "I certify that on 29/04/2026 I found a defect in the Kyleena device, lot no. TU04RT2, expiration 04/2028. Specifically, while attempting to insert the IUD in Ms." [Existing opaque black redaction] "the applicator jammed, preventing me from releasing the IUD at the uterine fundus. As the IUD had already been contaminated with biological material, I considered it appropriate not to retain it."</w:t>
      </w:r>
    </w:p>
    <w:p>
      <w:pPr>
        <w:pStyle w:val="CommentText"/>
      </w:pPr>
      <w:r>
        <w:t>[UNCLEAR] — Source: handwriting | Recognition confidence: low</w:t>
      </w:r>
    </w:p>
    <w:p>
      <w:pPr>
        <w:pStyle w:val="CommentText"/>
      </w:pPr>
      <w:r>
        <w:t>Best reading (original language): "ho ritenuto opportuno non conservarla"</w:t>
      </w:r>
    </w:p>
    <w:p>
      <w:pPr>
        <w:pStyle w:val="CommentText"/>
      </w:pPr>
      <w:r>
        <w:t>Alternative readings: "ha ritenuto opportuno non conservarla"</w:t>
      </w:r>
    </w:p>
    <w:p>
      <w:pPr>
        <w:pStyle w:val="CommentText"/>
      </w:pPr>
      <w:r>
        <w:t>Reason: final first-person verb ho is predominantly certain; alternate ha would change the subject; cropped region re-rendered at 345 DPI. Lot no. TU04RT2 was checked using a fresh crop at 1120 DPI.</w:t>
      </w:r>
    </w:p>
    <w:p>
      <w:pPr>
        <w:pStyle w:val="CommentText"/>
      </w:pPr>
      <w:r>
        <w:t>Recommended check: verify against original p. 1, final certification sentence, particularly ho versus ha.</w:t>
      </w:r>
    </w:p>
  </w:comment>
  <w:comment w:id="2" w:author="AI Translation" w:initials="AI" w:date="2026-10-08T15:19:53Z">
    <w:p>
      <w:pPr>
        <w:pStyle w:val="CommentText"/>
      </w:pPr>
      <w:r>
        <w:rPr>
          <w:rStyle w:val="CommentReference"/>
        </w:rPr>
        <w:annotationRef/>
      </w:r>
      <w:r>
        <w:t>[HANDWRITING] — Confidence: high</w:t>
      </w:r>
    </w:p>
    <w:p>
      <w:pPr>
        <w:pStyle w:val="CommentText"/>
      </w:pPr>
      <w:r>
        <w:t>Source text (original language): "In fede"</w:t>
      </w:r>
    </w:p>
    <w:p>
      <w:pPr>
        <w:pStyle w:val="CommentText"/>
      </w:pPr>
      <w:r>
        <w:t>Translation: "Yours faithfully,"</w:t>
      </w:r>
    </w:p>
  </w:comment>
  <w:comment w:id="3" w:author="AI Translation" w:initials="AI" w:date="2026-10-08T15:19:53Z">
    <w:p>
      <w:pPr>
        <w:pStyle w:val="CommentText"/>
      </w:pPr>
      <w:r>
        <w:rPr>
          <w:rStyle w:val="CommentReference"/>
        </w:rPr>
        <w:annotationRef/>
      </w:r>
      <w:r>
        <w:t>[UNCLEAR] — Source: stamp | Recognition confidence: low</w:t>
      </w:r>
    </w:p>
    <w:p>
      <w:pPr>
        <w:pStyle w:val="CommentText"/>
      </w:pPr>
      <w:r>
        <w:t>Source text (original language): "C.F. NVA SRA 97B42 E507J"</w:t>
      </w:r>
    </w:p>
    <w:p>
      <w:pPr>
        <w:pStyle w:val="CommentText"/>
      </w:pPr>
      <w:r>
        <w:t>Translation: "C.F. NVA SRA 97B42 E507J"</w:t>
      </w:r>
    </w:p>
    <w:p>
      <w:pPr>
        <w:pStyle w:val="CommentText"/>
      </w:pPr>
      <w:r>
        <w:t>Best reading (original language): "C.F. NVA SRA 97B42 E507J"</w:t>
      </w:r>
    </w:p>
    <w:p>
      <w:pPr>
        <w:pStyle w:val="CommentText"/>
      </w:pPr>
      <w:r>
        <w:t>Alternative readings: no reliably established alternative</w:t>
      </w:r>
    </w:p>
    <w:p>
      <w:pPr>
        <w:pStyle w:val="CommentText"/>
      </w:pPr>
      <w:r>
        <w:t>Reason: signature overlaps the fiscal identifier, particularly B42; cropped region re-rendered at 820 DPI; identifier could not be reliably verified.</w:t>
      </w:r>
    </w:p>
    <w:p>
      <w:pPr>
        <w:pStyle w:val="CommentText"/>
      </w:pPr>
      <w:r>
        <w:t>Recommended check: verify every identifier character against original p. 1 stamp or an authoritative record.</w:t>
      </w:r>
    </w:p>
  </w:comment>
  <w:comment w:id="4" w:author="AI Translation" w:initials="AI" w:date="2026-10-08T15:19:53Z">
    <w:p>
      <w:pPr>
        <w:pStyle w:val="CommentText"/>
      </w:pPr>
      <w:r>
        <w:rPr>
          <w:rStyle w:val="CommentReference"/>
        </w:rPr>
        <w:annotationRef/>
      </w:r>
      <w:r>
        <w:t>[SIGNATURE]</w:t>
      </w:r>
    </w:p>
    <w:p>
      <w:pPr>
        <w:pStyle w:val="CommentText"/>
      </w:pPr>
      <w:r>
        <w:t>[ILLEGIBLE] — Source: signature</w:t>
      </w:r>
    </w:p>
    <w:p>
      <w:pPr>
        <w:pStyle w:val="CommentText"/>
      </w:pPr>
      <w:r>
        <w:t>Source text (original language): "[ILLEGIBLE]"</w:t>
      </w:r>
    </w:p>
    <w:p>
      <w:pPr>
        <w:pStyle w:val="CommentText"/>
      </w:pPr>
      <w:r>
        <w:t>Translation: "[ILLEGIBLE]"</w:t>
      </w:r>
    </w:p>
    <w:p>
      <w:pPr>
        <w:pStyle w:val="CommentText"/>
      </w:pPr>
      <w:r>
        <w:t>Reason: stylized, overlapping signature has no reliable textual reading after cropped region re-rendered at 820 DPI; do not infer from the stamp name.</w:t>
      </w:r>
    </w:p>
    <w:p>
      <w:pPr>
        <w:pStyle w:val="CommentText"/>
      </w:pPr>
      <w:r>
        <w:t>Recommended check: verify against original p. 1, signature block.</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rPr>
          <w:vertAlign w:val="superscript"/>
        </w:rPr>
        <w:footnoteRef/>
      </w:r>
      <w:r>
        <w:rPr>
          <w:color w:val="666666"/>
          <w:sz w:val="16"/>
        </w:rPr>
        <w:t xml:space="preserve"> The confidence value is a reasoned quality estimate, not a proof of correctness. For an explanation of how it is calculated, what the quality levels mean, and which passages require manual verification, see the accompanying quality report: 002_AI Translation Quality Report.docx.</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comments" Target="comments.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002 — English Translation</dc:title>
  <dc:subject/>
  <dc:creator>AI Translation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