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Translation Quality Report</w:t>
      </w:r>
    </w:p>
    <w:p>
      <w:pPr>
        <w:pStyle w:val="Heading1"/>
      </w:pPr>
      <w:r>
        <w:t>1. File and processing identification</w:t>
      </w:r>
    </w:p>
    <w:p>
      <w:r>
        <w:t>Processed source: 004.pdf. Programmatic source page count: 2 (native PDF page objects); both pages are approximately A4 portrait, 594.96 × 841.92 points. Source languages: French and English. Target: American English.</w:t>
      </w:r>
    </w:p>
    <w:p>
      <w:r>
        <w:t>Four deliverables, in prescribed save order:</w:t>
      </w:r>
    </w:p>
    <w:p>
      <w:r>
        <w:t>004_Translated by AI.docx</w:t>
      </w:r>
    </w:p>
    <w:p>
      <w:r>
        <w:t>004_Translated by AI.md</w:t>
      </w:r>
    </w:p>
    <w:p>
      <w:r>
        <w:t>004_AI Translation Quality Report.docx</w:t>
      </w:r>
    </w:p>
    <w:p>
      <w:r>
        <w:t>004_AI Translation Used Terminology.csv</w:t>
      </w:r>
    </w:p>
    <w:p>
      <w:r>
        <w:t>Model: ChatGPT (OpenAI). Exact deployed model version: unavailable; no version number is inferred. Actual prompt read: /documents/prompt.en.0.7.md (filename prompt.en.0.7.md). Declared metadata filename: translate_file_into_en.md. Version: 0.7. The actual and declared filenames differ; the actual prompt governed this run. Translation preamble correctly names the actual filename and version.</w:t>
      </w:r>
    </w:p>
    <w:p>
      <w:pPr>
        <w:pStyle w:val="Heading1"/>
      </w:pPr>
      <w:r>
        <w:t>2. Overall result</w:t>
      </w:r>
    </w:p>
    <w:p>
      <w:r>
        <w:t>Output formats: translated DOCX, supplementary Markdown, quality-report DOCX, and UTF-8 BOM terminology CSV. Source pages processed: 2; completely processed: 2; problematic pages: 1 (page 1: source clipping and product-name discrepancy). Page 2 is genuinely blank and is preserved, not omitted.</w:t>
      </w:r>
    </w:p>
    <w:p>
      <w:r>
        <w:t>Handwritten segments: 0; signatures: 0; stamps: 0; UNCLEAR locations: 0; ILLEGIBLE locations: 0; Word comments set: 0. Comment presentation: level 1, Word comments; not needed because there are no applicable handwritten, signature or uncertain-recognition segments. No fallback to footnotes/endnotes or inline uncertainty markers was needed. The preamble reliability footnote is a separate, genuine Word footnote, not a comment fallback.</w:t>
      </w:r>
    </w:p>
    <w:p>
      <w:pPr>
        <w:pStyle w:val="Heading1"/>
      </w:pPr>
      <w:r>
        <w:t>3. Confidence Index and sub-scores</w:t>
      </w:r>
    </w:p>
    <w:p>
      <w:r>
        <w:t>Overall Confidence Index: 94% — high expected quality, only minor uncertainties. Reasoned estimates are not verified probabilities or proof of correctness. Qualified review remains appropriate before business, medical, safety-relevant or regulatory use.</w:t>
      </w:r>
    </w:p>
    <w:tbl>
      <w:tblPr>
        <w:tblStyle w:val="TableGrid"/>
        <w:tblW w:type="auto" w:w="0"/>
        <w:tblLook w:firstColumn="1" w:firstRow="1" w:lastColumn="0" w:lastRow="0" w:noHBand="0" w:noVBand="1" w:val="04A0"/>
      </w:tblPr>
      <w:tblGrid>
        <w:gridCol w:w="2592"/>
        <w:gridCol w:w="2592"/>
        <w:gridCol w:w="2592"/>
        <w:gridCol w:w="2592"/>
      </w:tblGrid>
      <w:tr>
        <w:trPr>
          <w:tblHeader/>
        </w:trPr>
        <w:tc>
          <w:tcPr>
            <w:tcW w:type="dxa" w:w="2592"/>
          </w:tcPr>
          <w:p>
            <w:r>
              <w:rPr>
                <w:sz w:val="18"/>
              </w:rPr>
              <w:t>Category</w:t>
            </w:r>
          </w:p>
        </w:tc>
        <w:tc>
          <w:tcPr>
            <w:tcW w:type="dxa" w:w="2592"/>
          </w:tcPr>
          <w:p>
            <w:r>
              <w:rPr>
                <w:sz w:val="18"/>
              </w:rPr>
              <w:t>Score</w:t>
            </w:r>
          </w:p>
        </w:tc>
        <w:tc>
          <w:tcPr>
            <w:tcW w:type="dxa" w:w="2592"/>
          </w:tcPr>
          <w:p>
            <w:r>
              <w:rPr>
                <w:sz w:val="18"/>
              </w:rPr>
              <w:t>Weight</w:t>
            </w:r>
          </w:p>
        </w:tc>
        <w:tc>
          <w:tcPr>
            <w:tcW w:type="dxa" w:w="2592"/>
          </w:tcPr>
          <w:p>
            <w:r>
              <w:rPr>
                <w:sz w:val="18"/>
              </w:rPr>
              <w:t>Reason</w:t>
            </w:r>
          </w:p>
        </w:tc>
      </w:tr>
      <w:tr>
        <w:tc>
          <w:tcPr>
            <w:tcW w:type="dxa" w:w="2592"/>
          </w:tcPr>
          <w:p>
            <w:r>
              <w:rPr>
                <w:sz w:val="18"/>
              </w:rPr>
              <w:t>A. Text capture and OCR</w:t>
            </w:r>
          </w:p>
        </w:tc>
        <w:tc>
          <w:tcPr>
            <w:tcW w:type="dxa" w:w="2592"/>
          </w:tcPr>
          <w:p>
            <w:r>
              <w:rPr>
                <w:sz w:val="18"/>
              </w:rPr>
              <w:t>94%</w:t>
            </w:r>
          </w:p>
        </w:tc>
        <w:tc>
          <w:tcPr>
            <w:tcW w:type="dxa" w:w="2592"/>
          </w:tcPr>
          <w:p>
            <w:r>
              <w:rPr>
                <w:sz w:val="18"/>
              </w:rPr>
              <w:t>25%</w:t>
            </w:r>
          </w:p>
        </w:tc>
        <w:tc>
          <w:tcPr>
            <w:tcW w:type="dxa" w:w="2592"/>
          </w:tcPr>
          <w:p>
            <w:r>
              <w:rPr>
                <w:sz w:val="18"/>
              </w:rPr>
              <w:t>Native extraction reliable; visual clipping remains in title/Object ID and time display.</w:t>
            </w:r>
          </w:p>
        </w:tc>
      </w:tr>
      <w:tr>
        <w:tc>
          <w:tcPr>
            <w:tcW w:type="dxa" w:w="2592"/>
          </w:tcPr>
          <w:p>
            <w:r>
              <w:rPr>
                <w:sz w:val="18"/>
              </w:rPr>
              <w:t>B. Completeness</w:t>
            </w:r>
          </w:p>
        </w:tc>
        <w:tc>
          <w:tcPr>
            <w:tcW w:type="dxa" w:w="2592"/>
          </w:tcPr>
          <w:p>
            <w:r>
              <w:rPr>
                <w:sz w:val="18"/>
              </w:rPr>
              <w:t>100%</w:t>
            </w:r>
          </w:p>
        </w:tc>
        <w:tc>
          <w:tcPr>
            <w:tcW w:type="dxa" w:w="2592"/>
          </w:tcPr>
          <w:p>
            <w:r>
              <w:rPr>
                <w:sz w:val="18"/>
              </w:rPr>
              <w:t>20%</w:t>
            </w:r>
          </w:p>
        </w:tc>
        <w:tc>
          <w:tcPr>
            <w:tcW w:type="dxa" w:w="2592"/>
          </w:tcPr>
          <w:p>
            <w:r>
              <w:rPr>
                <w:sz w:val="18"/>
              </w:rPr>
              <w:t>Both pages, all visible content, original empty fields and supplied image graphics accounted for.</w:t>
            </w:r>
          </w:p>
        </w:tc>
      </w:tr>
      <w:tr>
        <w:tc>
          <w:tcPr>
            <w:tcW w:type="dxa" w:w="2592"/>
          </w:tcPr>
          <w:p>
            <w:r>
              <w:rPr>
                <w:sz w:val="18"/>
              </w:rPr>
              <w:t>C. Translation accuracy</w:t>
            </w:r>
          </w:p>
        </w:tc>
        <w:tc>
          <w:tcPr>
            <w:tcW w:type="dxa" w:w="2592"/>
          </w:tcPr>
          <w:p>
            <w:r>
              <w:rPr>
                <w:sz w:val="18"/>
              </w:rPr>
              <w:t>92%</w:t>
            </w:r>
          </w:p>
        </w:tc>
        <w:tc>
          <w:tcPr>
            <w:tcW w:type="dxa" w:w="2592"/>
          </w:tcPr>
          <w:p>
            <w:r>
              <w:rPr>
                <w:sz w:val="18"/>
              </w:rPr>
              <w:t>25%</w:t>
            </w:r>
          </w:p>
        </w:tc>
        <w:tc>
          <w:tcPr>
            <w:tcW w:type="dxa" w:w="2592"/>
          </w:tcPr>
          <w:p>
            <w:r>
              <w:rPr>
                <w:sz w:val="18"/>
              </w:rPr>
              <w:t>Meaning and identifiers retained; product discrepancy and clipped UI context require business review.</w:t>
            </w:r>
          </w:p>
        </w:tc>
      </w:tr>
      <w:tr>
        <w:tc>
          <w:tcPr>
            <w:tcW w:type="dxa" w:w="2592"/>
          </w:tcPr>
          <w:p>
            <w:r>
              <w:rPr>
                <w:sz w:val="18"/>
              </w:rPr>
              <w:t>D. Terminological consistency</w:t>
            </w:r>
          </w:p>
        </w:tc>
        <w:tc>
          <w:tcPr>
            <w:tcW w:type="dxa" w:w="2592"/>
          </w:tcPr>
          <w:p>
            <w:r>
              <w:rPr>
                <w:sz w:val="18"/>
              </w:rPr>
              <w:t>98%</w:t>
            </w:r>
          </w:p>
        </w:tc>
        <w:tc>
          <w:tcPr>
            <w:tcW w:type="dxa" w:w="2592"/>
          </w:tcPr>
          <w:p>
            <w:r>
              <w:rPr>
                <w:sz w:val="18"/>
              </w:rPr>
              <w:t>10%</w:t>
            </w:r>
          </w:p>
        </w:tc>
        <w:tc>
          <w:tcPr>
            <w:tcW w:type="dxa" w:w="2592"/>
          </w:tcPr>
          <w:p>
            <w:r>
              <w:rPr>
                <w:sz w:val="18"/>
              </w:rPr>
              <w:t>State terminology applied; BL and system abbreviations not expanded.</w:t>
            </w:r>
          </w:p>
        </w:tc>
      </w:tr>
      <w:tr>
        <w:tc>
          <w:tcPr>
            <w:tcW w:type="dxa" w:w="2592"/>
          </w:tcPr>
          <w:p>
            <w:r>
              <w:rPr>
                <w:sz w:val="18"/>
              </w:rPr>
              <w:t>E. Language quality</w:t>
            </w:r>
          </w:p>
        </w:tc>
        <w:tc>
          <w:tcPr>
            <w:tcW w:type="dxa" w:w="2592"/>
          </w:tcPr>
          <w:p>
            <w:r>
              <w:rPr>
                <w:sz w:val="18"/>
              </w:rPr>
              <w:t>98%</w:t>
            </w:r>
          </w:p>
        </w:tc>
        <w:tc>
          <w:tcPr>
            <w:tcW w:type="dxa" w:w="2592"/>
          </w:tcPr>
          <w:p>
            <w:r>
              <w:rPr>
                <w:sz w:val="18"/>
              </w:rPr>
              <w:t>10%</w:t>
            </w:r>
          </w:p>
        </w:tc>
        <w:tc>
          <w:tcPr>
            <w:tcW w:type="dxa" w:w="2592"/>
          </w:tcPr>
          <w:p>
            <w:r>
              <w:rPr>
                <w:sz w:val="18"/>
              </w:rPr>
              <w:t>Clear, grammatical American English; source names and address spellings preserved.</w:t>
            </w:r>
          </w:p>
        </w:tc>
      </w:tr>
      <w:tr>
        <w:tc>
          <w:tcPr>
            <w:tcW w:type="dxa" w:w="2592"/>
          </w:tcPr>
          <w:p>
            <w:r>
              <w:rPr>
                <w:sz w:val="18"/>
              </w:rPr>
              <w:t>F. Layout and structural fidelity</w:t>
            </w:r>
          </w:p>
        </w:tc>
        <w:tc>
          <w:tcPr>
            <w:tcW w:type="dxa" w:w="2592"/>
          </w:tcPr>
          <w:p>
            <w:r>
              <w:rPr>
                <w:sz w:val="18"/>
              </w:rPr>
              <w:t>80%</w:t>
            </w:r>
          </w:p>
        </w:tc>
        <w:tc>
          <w:tcPr>
            <w:tcW w:type="dxa" w:w="2592"/>
          </w:tcPr>
          <w:p>
            <w:r>
              <w:rPr>
                <w:sz w:val="18"/>
              </w:rPr>
              <w:t>10%</w:t>
            </w:r>
          </w:p>
        </w:tc>
        <w:tc>
          <w:tcPr>
            <w:tcW w:type="dxa" w:w="2592"/>
          </w:tcPr>
          <w:p>
            <w:r>
              <w:rPr>
                <w:sz w:val="18"/>
              </w:rPr>
              <w:t>Reading order/form structure retained; control shapes, widths, spacing and wrapping approximate.</w:t>
            </w:r>
          </w:p>
        </w:tc>
      </w:tr>
    </w:tbl>
    <w:p>
      <w:r>
        <w:t>General overall formula: #$#Confidence Index = (A × 0.25) + (B × 0.20) + (C × 0.25) + (D × 0.10) + (E × 0.10) + (F × 0.10)#$#</w:t>
      </w:r>
    </w:p>
    <w:p>
      <w:r>
        <w:t>Actual overall calculation: #$#(94 × 0.25) + (100 × 0.20) + (92 × 0.25) + (98 × 0.10) + (98 × 0.10) + (80 × 0.10) = 94.1; rounded = 94%#$#</w:t>
      </w:r>
    </w:p>
    <w:p>
      <w:r>
        <w:t>Arithmetic reconciliation: the requested unrounded value 94.2 is inconsistent with the supplied A–F scores and weights. The verified weighted sum is 94.1; both round to 94%. The prescribed scores and published overall 94% remain unchanged.</w:t>
      </w:r>
    </w:p>
    <w:p>
      <w:r>
        <w:t>No capping rule applies: no pages missing, no technically relevant illegible text, numbers/identifiers checked, no widespread uncertainty, and systematic completeness and source back-comparison were possible. Clipping is documented without inventing absent text; unresolved business context does not turn legible text into OCR uncertainty.</w:t>
      </w:r>
    </w:p>
    <w:p>
      <w:r>
        <w:br w:type="page"/>
      </w:r>
    </w:p>
    <w:p>
      <w:pPr>
        <w:pStyle w:val="Heading1"/>
      </w:pPr>
      <w:r>
        <w:t>4. Page-related assessment — exactly two source-page rows</w:t>
      </w:r>
    </w:p>
    <w:p>
      <w:r>
        <w:t>Capture confidence is the prompt’s OCR-confidence field; native extraction was preferred rather than raster OCR. Page numbers below refer to the two source pages, not the added DOCX preamble.</w:t>
      </w:r>
    </w:p>
    <w:tbl>
      <w:tblPr>
        <w:tblStyle w:val="TableGrid"/>
        <w:tblW w:type="auto" w:w="0"/>
        <w:tblLook w:firstColumn="1" w:firstRow="1" w:lastColumn="0" w:lastRow="0" w:noHBand="0" w:noVBand="1" w:val="04A0"/>
      </w:tblPr>
      <w:tblGrid>
        <w:gridCol w:w="2074"/>
        <w:gridCol w:w="2074"/>
        <w:gridCol w:w="2074"/>
        <w:gridCol w:w="2074"/>
        <w:gridCol w:w="2074"/>
      </w:tblGrid>
      <w:tr>
        <w:trPr>
          <w:tblHeader/>
        </w:trPr>
        <w:tc>
          <w:tcPr>
            <w:tcW w:type="dxa" w:w="2074"/>
          </w:tcPr>
          <w:p>
            <w:r>
              <w:rPr>
                <w:sz w:val="18"/>
              </w:rPr>
              <w:t>Page / source / rendering</w:t>
            </w:r>
          </w:p>
        </w:tc>
        <w:tc>
          <w:tcPr>
            <w:tcW w:type="dxa" w:w="2074"/>
          </w:tcPr>
          <w:p>
            <w:r>
              <w:rPr>
                <w:sz w:val="18"/>
              </w:rPr>
              <w:t>Capture / translation / layout / page</w:t>
            </w:r>
          </w:p>
        </w:tc>
        <w:tc>
          <w:tcPr>
            <w:tcW w:type="dxa" w:w="2074"/>
          </w:tcPr>
          <w:p>
            <w:r>
              <w:rPr>
                <w:sz w:val="18"/>
              </w:rPr>
              <w:t>HW / comments</w:t>
            </w:r>
          </w:p>
        </w:tc>
        <w:tc>
          <w:tcPr>
            <w:tcW w:type="dxa" w:w="2074"/>
          </w:tcPr>
          <w:p>
            <w:r>
              <w:rPr>
                <w:sz w:val="18"/>
              </w:rPr>
              <w:t>Problem areas</w:t>
            </w:r>
          </w:p>
        </w:tc>
        <w:tc>
          <w:tcPr>
            <w:tcW w:type="dxa" w:w="2074"/>
          </w:tcPr>
          <w:p>
            <w:r>
              <w:rPr>
                <w:sz w:val="18"/>
              </w:rPr>
              <w:t>Quality level / manual review</w:t>
            </w:r>
          </w:p>
        </w:tc>
      </w:tr>
      <w:tr>
        <w:tc>
          <w:tcPr>
            <w:tcW w:type="dxa" w:w="2074"/>
          </w:tcPr>
          <w:p>
            <w:r>
              <w:rPr>
                <w:sz w:val="18"/>
              </w:rPr>
              <w:t>1 / native / true, 300 DPI</w:t>
            </w:r>
          </w:p>
        </w:tc>
        <w:tc>
          <w:tcPr>
            <w:tcW w:type="dxa" w:w="2074"/>
          </w:tcPr>
          <w:p>
            <w:r>
              <w:rPr>
                <w:sz w:val="18"/>
              </w:rPr>
              <w:t>94% / 92% / 80% / 90%</w:t>
            </w:r>
          </w:p>
        </w:tc>
        <w:tc>
          <w:tcPr>
            <w:tcW w:type="dxa" w:w="2074"/>
          </w:tcPr>
          <w:p>
            <w:r>
              <w:rPr>
                <w:sz w:val="18"/>
              </w:rPr>
              <w:t>0 / 0</w:t>
            </w:r>
          </w:p>
        </w:tc>
        <w:tc>
          <w:tcPr>
            <w:tcW w:type="dxa" w:w="2074"/>
          </w:tcPr>
          <w:p>
            <w:r>
              <w:rPr>
                <w:sz w:val="18"/>
              </w:rPr>
              <w:t>Title/Object ID clipping; clipped time resolved natively; NUXE versus Bepanthen; BL undefined; approximate controls.</w:t>
            </w:r>
          </w:p>
        </w:tc>
        <w:tc>
          <w:tcPr>
            <w:tcW w:type="dxa" w:w="2074"/>
          </w:tcPr>
          <w:p>
            <w:r>
              <w:rPr>
                <w:sz w:val="18"/>
              </w:rPr>
              <w:t>High expected quality, only minor uncertainties / recommended</w:t>
            </w:r>
          </w:p>
        </w:tc>
      </w:tr>
      <w:tr>
        <w:tc>
          <w:tcPr>
            <w:tcW w:type="dxa" w:w="2074"/>
          </w:tcPr>
          <w:p>
            <w:r>
              <w:rPr>
                <w:sz w:val="18"/>
              </w:rPr>
              <w:t>2 / native / true, 300 DPI</w:t>
            </w:r>
          </w:p>
        </w:tc>
        <w:tc>
          <w:tcPr>
            <w:tcW w:type="dxa" w:w="2074"/>
          </w:tcPr>
          <w:p>
            <w:r>
              <w:rPr>
                <w:sz w:val="18"/>
              </w:rPr>
              <w:t>100% / 100% / 100% / 100%</w:t>
            </w:r>
          </w:p>
        </w:tc>
        <w:tc>
          <w:tcPr>
            <w:tcW w:type="dxa" w:w="2074"/>
          </w:tcPr>
          <w:p>
            <w:r>
              <w:rPr>
                <w:sz w:val="18"/>
              </w:rPr>
              <w:t>0 / 0</w:t>
            </w:r>
          </w:p>
        </w:tc>
        <w:tc>
          <w:tcPr>
            <w:tcW w:type="dxa" w:w="2074"/>
          </w:tcPr>
          <w:p>
            <w:r>
              <w:rPr>
                <w:sz w:val="18"/>
              </w:rPr>
              <w:t>Blank source page; no text to translate.</w:t>
            </w:r>
          </w:p>
        </w:tc>
        <w:tc>
          <w:tcPr>
            <w:tcW w:type="dxa" w:w="2074"/>
          </w:tcPr>
          <w:p>
            <w:r>
              <w:rPr>
                <w:sz w:val="18"/>
              </w:rPr>
              <w:t>Very high expected quality, no material uncertainties identified / not required</w:t>
            </w:r>
          </w:p>
        </w:tc>
      </w:tr>
    </w:tbl>
    <w:p>
      <w:r>
        <w:t>General page formula: #$#Page confidence = (capture confidence × 0.40) + (translation confidence × 0.40) + (layout confidence × 0.20)#$#</w:t>
      </w:r>
    </w:p>
    <w:p>
      <w:r>
        <w:t>Page 1: #$#(94 × 0.40) + (92 × 0.40) + (80 × 0.20) = 90.4; rounded = 90%#$#</w:t>
      </w:r>
    </w:p>
    <w:p>
      <w:r>
        <w:t>Page 2: #$#(100 × 0.40) + (100 × 0.40) + (100 × 0.20) = 100; rounded = 100%#$#</w:t>
      </w:r>
    </w:p>
    <w:p>
      <w:r>
        <w:t>The blank page receives a mechanically complete 100% assessment because no text is present. This does not imply 100% quality of a text translation, or raise the document-wide index to a page-average score. The overall index is the weighted A–F calculation above.</w:t>
      </w:r>
    </w:p>
    <w:p>
      <w:pPr>
        <w:pStyle w:val="Heading1"/>
      </w:pPr>
      <w:r>
        <w:t>5. Capture, rendering and back-comparison method</w:t>
      </w:r>
    </w:p>
    <w:p>
      <w:r>
        <w:t>Native PDF text extraction was preferred and checked against the existing page images. Both images were already rendered at 300 DPI in E1; no source page was re-rendered during E5. Raster inspection was appropriate for the form/UI controls and conspicuous clipping. Page 2’s existing raster was inspected to confirm blankness. Four PDF image objects on page 1 are UI graphics only, not image text, photographs, signatures or stamps.</w:t>
      </w:r>
    </w:p>
    <w:p>
      <w:r>
        <w:t>The displayed Sent field clips the final time character, but native extraction supplies 05.05.2026 15:09 in full; this reliable native value was retained. The title and Object ID themselves are truncated in the source text/display; absent tails were not reconstructed. UI-image text OCR was not needed. Crop attempts: 0; crop DPI: not applicable. Preprocessing: none needed; no skew, noise, rotation or contrast problem required correction.</w:t>
      </w:r>
    </w:p>
    <w:p>
      <w:r>
        <w:t>Each source section was back-compared with its corresponding translated DOCX and Markdown section. Verified: pages, headings, form labels/values, blank fields, paragraphs, table cells and logical order; numbers, date/time, units (none), identifiers, names, product/system names, abbreviations, singular quantity and damage on receipt; negations and requirements (no formal obligation text), optional encryption wording, grammar and terminology. No translation correction or complete second translation pass was necessary.</w:t>
      </w:r>
    </w:p>
    <w:p>
      <w:r>
        <w:t>UI graphics are represented by approximate reconstructed controls. No unreplaceable image text or difficult/nested data tables were identified. No visible source content was lost behind graphics, no shifted table assignment was detected, and no unexplained untranslated French prose or OCR artifacts were found. English, names and identifiers deliberately retained are listed below.</w:t>
      </w:r>
    </w:p>
    <w:p>
      <w:r>
        <w:br w:type="page"/>
      </w:r>
    </w:p>
    <w:p>
      <w:pPr>
        <w:pStyle w:val="Heading1"/>
      </w:pPr>
      <w:r>
        <w:t>6. Identified risks and locations to be checked manually</w:t>
      </w:r>
    </w:p>
    <w:p>
      <w:r>
        <w:t>Page 1 is individually flagged. The following are legible-source clipping, contextual or business-verification issues, not UNCLEAR/ILLEGIBLE recognition classifications; therefore they do not require uncertainty comments.</w:t>
      </w:r>
    </w:p>
    <w:p>
      <w:pPr>
        <w:pStyle w:val="Heading2"/>
      </w:pPr>
      <w:r>
        <w:t>6.1. Top title</w:t>
      </w:r>
    </w:p>
    <w:p>
      <w:r>
        <w:t>Page: 1. Position/section: Top title. Source: NATIVE (native PDF text).</w:t>
      </w:r>
    </w:p>
    <w:p>
      <w:r>
        <w:t>Source text: E-Mail: Objet : Réclamation pour produit endomma</w:t>
      </w:r>
    </w:p>
    <w:p>
      <w:r>
        <w:t>English translation: E-Mail: Subject: Complaint about a damaged produ…</w:t>
      </w:r>
    </w:p>
    <w:p>
      <w:r>
        <w:t>Type of uncertainty: Visible/native source truncation. Recommended check: Compare the original email title in the business system if its omitted tail is needed; do not infer it from the full Subject.</w:t>
      </w:r>
    </w:p>
    <w:p>
      <w:pPr>
        <w:pStyle w:val="Heading2"/>
      </w:pPr>
      <w:r>
        <w:t>6.2. References — Object ID</w:t>
      </w:r>
    </w:p>
    <w:p>
      <w:r>
        <w:t>Page: 1. Position/section: References — Object ID. Source: NATIVE (native PDF text).</w:t>
      </w:r>
    </w:p>
    <w:p>
      <w:r>
        <w:t>Source text: Objet : Réclamation pour produit endo…</w:t>
      </w:r>
    </w:p>
    <w:p>
      <w:r>
        <w:t>English translation: Subject: Complaint about a damaged produ…</w:t>
      </w:r>
    </w:p>
    <w:p>
      <w:r>
        <w:t>Type of uncertainty: Visible source truncation. Recommended check: Check the original system Object ID display if full wording is needed; the translation preserves truncation.</w:t>
      </w:r>
    </w:p>
    <w:p>
      <w:pPr>
        <w:pStyle w:val="Heading2"/>
      </w:pPr>
      <w:r>
        <w:t>6.3. References — Object Type</w:t>
      </w:r>
    </w:p>
    <w:p>
      <w:r>
        <w:t>Page: 1. Position/section: References — Object Type. Source: NATIVE (native PDF text).</w:t>
      </w:r>
    </w:p>
    <w:p>
      <w:r>
        <w:t>Source text: Incident/Srv.Requ; Ob…; 7014086448</w:t>
      </w:r>
    </w:p>
    <w:p>
      <w:r>
        <w:t>English translation: Incident/Srv.Requ Ob… — 7014086448</w:t>
      </w:r>
    </w:p>
    <w:p>
      <w:r>
        <w:t>Type of uncertainty: Abbreviated/clipped UI context. Recommended check: Verify the full UI labels in the original system if necessary; no expansion was invented.</w:t>
      </w:r>
    </w:p>
    <w:p>
      <w:pPr>
        <w:pStyle w:val="Heading2"/>
      </w:pPr>
      <w:r>
        <w:t>6.4. Email Header — Sent</w:t>
      </w:r>
    </w:p>
    <w:p>
      <w:r>
        <w:t>Page: 1. Position/section: Email Header — Sent. Source: NATIVE (native PDF text).</w:t>
      </w:r>
    </w:p>
    <w:p>
      <w:r>
        <w:t>Source text: 05.05.2026 15:09 (native; final digit clipped in visible field)</w:t>
      </w:r>
    </w:p>
    <w:p>
      <w:r>
        <w:t>English translation: 05.05.2026 15:09</w:t>
      </w:r>
    </w:p>
    <w:p>
      <w:r>
        <w:t>Type of uncertainty: Native/visible discrepancy, resolved by native extraction. Recommended check: Optional visual/system cross-check of the full timestamp; preserve native digits and source notation.</w:t>
      </w:r>
    </w:p>
    <w:p>
      <w:pPr>
        <w:pStyle w:val="Heading2"/>
      </w:pPr>
      <w:r>
        <w:t>6.5. Email Header — Subject, versus email body</w:t>
      </w:r>
    </w:p>
    <w:p>
      <w:r>
        <w:t>Page: 1. Position/section: Email Header — Subject, versus email body. Source: NATIVE (native PDF text).</w:t>
      </w:r>
    </w:p>
    <w:p>
      <w:r>
        <w:t>Source text: Objet : Réclamation pour produit endommagé – Recharge NUXE “Rêve de Miel”; body: code 3534510000979 Bepanthen Derma Wash.</w:t>
      </w:r>
    </w:p>
    <w:p>
      <w:r>
        <w:t>English translation: Subject: Complaint about a damaged product – NUXE “Rêve de Miel” refill; body: Code 3534510000979 Bepanthen Derma Wash.</w:t>
      </w:r>
    </w:p>
    <w:p>
      <w:r>
        <w:t>Type of uncertainty: Source product-name discrepancy. Recommended check: Recommended business review against original correspondence/order to identify the intended product; do not silently harmonize NUXE and Bepanthen.</w:t>
      </w:r>
    </w:p>
    <w:p>
      <w:pPr>
        <w:pStyle w:val="Heading2"/>
      </w:pPr>
      <w:r>
        <w:t>6.6. Email body — first sentence</w:t>
      </w:r>
    </w:p>
    <w:p>
      <w:r>
        <w:t>Page: 1. Position/section: Email body — first sentence. Source: NATIVE (native PDF text).</w:t>
      </w:r>
    </w:p>
    <w:p>
      <w:r>
        <w:t>Source text: Bonjour. BL 5433643900 -un article reçu abimé.</w:t>
      </w:r>
    </w:p>
    <w:p>
      <w:r>
        <w:t>English translation: Hello. BL 5433643900 – one item was received damaged.</w:t>
      </w:r>
    </w:p>
    <w:p>
      <w:r>
        <w:t>Type of uncertainty: Undefined abbreviation BL. Recommended check: Check BL meaning with the document owner if needed; retained without unsupported expansion.</w:t>
      </w:r>
    </w:p>
    <w:p>
      <w:pPr>
        <w:pStyle w:val="Heading2"/>
      </w:pPr>
      <w:r>
        <w:t>6.7. Email Header — Attachments</w:t>
      </w:r>
    </w:p>
    <w:p>
      <w:r>
        <w:t>Page: 1. Position/section: Email Header — Attachments. Source: NATIVE (native PDF text).</w:t>
      </w:r>
    </w:p>
    <w:p>
      <w:r>
        <w:t>Source text: IMG_6418.jpeg; IMG_6419.jpeg; IMG_6420.jpeg; mail_photo.JPG</w:t>
      </w:r>
    </w:p>
    <w:p>
      <w:r>
        <w:t>English translation: IMG_6418.jpeg; IMG_6419.jpeg; IMG_6420.jpeg; mail_photo.JPG</w:t>
      </w:r>
    </w:p>
    <w:p>
      <w:r>
        <w:t>Type of uncertainty: Referenced files not supplied. Recommended check: If attachment review is required, obtain the files separately. These are filenames only, not embedded attachments or additional supplied pages to translate.</w:t>
      </w:r>
    </w:p>
    <w:p>
      <w:r>
        <w:br w:type="page"/>
      </w:r>
    </w:p>
    <w:p>
      <w:pPr>
        <w:pStyle w:val="Heading1"/>
      </w:pPr>
      <w:r>
        <w:t>7. Deliberately untranslated content and justification</w:t>
      </w:r>
    </w:p>
    <w:p>
      <w:r>
        <w:t>All items below occur on source page 1; page 2 has none. Existing English is already in the target language. Proper names, brands, email addresses, filenames and identifiers are retained exactly; no authorized alternate designation was supplied.</w:t>
      </w:r>
    </w:p>
    <w:p>
      <w:r>
        <w:t>Existing English headings/UI labels: E-Mail; References; AI Feed Data; Email Header; Requester; Object Type; Customer/Vendor; Object ID; Customer Type; Confidential; MyOrder User; Processing Team; Processing Person; Sent; Direction; From; Subject; Email Importance; Priority; Email Sensitivity; Attachments; Encryption. Existing English values: Inbound; Normal (importance and sensitivity); Low; Send encrypted to internal Bayer (optional). Existing English security notice: You don’t often get email from dgpharma@yahoo.com. Learn why this is important. These were retained because no translation is needed. The email line below From remains unlabeled, as in the source.</w:t>
      </w:r>
    </w:p>
    <w:p>
      <w:r>
        <w:t>Names and organization/address: Pauline Déplanque; Kraszewski, Jedrzej; Pharmacie des Albères; Gaumé Julie Déplanque Pauline; 3 rue Jean Jaures; 66690 Saint André. Preserved as names and postal addressing, including original accent/spelling conventions; no name order or street spelling normalization.</w:t>
      </w:r>
    </w:p>
    <w:p>
      <w:r>
        <w:t>Brands/product names/organization references: NUXE; “Rêve de Miel”; Bepanthen Derma Wash; Bayer. Preserved as product/organization names. French descriptive Recharge is translated as refill; the NUXE–Bepanthen mismatch is not corrected.</w:t>
      </w:r>
    </w:p>
    <w:p>
      <w:r>
        <w:t>Email addresses: dgpharma@yahoo.com (From and security notice); reclamation.france@bayer.com (unlabeled line). Filenames: IMG_6418.jpeg; IMG_6419.jpeg; IMG_6420.jpeg; mail_photo.JPG. Preserved exactly, including case, underscores and extensions; the attachments themselves were not supplied and the PDF contains zero embedded files.</w:t>
      </w:r>
    </w:p>
    <w:p>
      <w:r>
        <w:t>Identifiers and abbreviations: P165136973; 7014086448; PTC SCG; OI_0GQASCG; Incident/Srv.Requ; Ob…; BL; 5433643900; 3534510000979. Retained as system labels/IDs, document/reference number and product code. BL is undefined; no interpretation of BL, PTC SCG or OI_0GQASCG is assumed. Incident/Srv.Requ and Ob… remain abbreviated/clipped as supplied.</w:t>
      </w:r>
    </w:p>
    <w:p>
      <w:r>
        <w:t>Date/time and contact numbers: 05.05.2026 15:09; 04.68.89.06.73; postal code 66690 and street number 3. Source notation is retained to avoid ambiguity and preserve identifiers. No numeric unit conversion was needed. Four original empty fields remain empty: Customer/Vendor, Customer Type, Confidential and MyOrder User.</w:t>
      </w:r>
    </w:p>
    <w:p>
      <w:pPr>
        <w:pStyle w:val="Heading1"/>
      </w:pPr>
      <w:r>
        <w:t>8. Limitations and workflow continuity</w:t>
      </w:r>
    </w:p>
    <w:p>
      <w:r>
        <w:t>The exact deployed model version is not exposed and cannot be independently verified. Reported confidence values are reasoned estimates, not calibrated probabilities. Review against the supplied PDF is complete; full source-system records, clipped-away wording and referenced attachment contents were not available and are not assumed. No other unavailable-content claims are made.</w:t>
      </w:r>
    </w:p>
    <w:p>
      <w:r>
        <w:t>Layout controls, field widths, spacing and line wrapping are approximate. The completed translation DOCX was verified through LibreOffice as three pages: one preamble page, translated source page 1 and blank source page 2. A real OOXML footnote was verified. Microsoft Word pagination was not verified; installed fonts and Word/font metrics can alter wrapping and pagination. This does not change the two-page source count.</w:t>
      </w:r>
    </w:p>
    <w:p>
      <w:r>
        <w:t>Level 1 Word comments was the applicable presentation level, but no applicable segments existed and no comments were needed. No technical comment failure or reduced fallback scope occurred. No handwriting/signature coloring was needed, and no native/printed/stamped content was incorrectly colored as handwriting.</w:t>
      </w:r>
    </w:p>
    <w:p>
      <w:r>
        <w:t>Workflow continuity: E1–E5 were performed in sequential stage calls within a single run; no workflow interruption occurred. E5 reused the completed state, translation and existing source page images. E1–E4 were not repeated and the finished translation DOCX and Markdown were not overwritten. Deliverables are saved locally; upload is delegated to the calling workflow.</w:t>
      </w:r>
    </w:p>
    <w:p>
      <w:r>
        <w:br w:type="page"/>
      </w:r>
    </w:p>
    <w:p>
      <w:pPr>
        <w:pStyle w:val="Heading1"/>
      </w:pPr>
      <w:r>
        <w:t>9. Binding consistency reconciliation and final QA</w:t>
      </w:r>
    </w:p>
    <w:p>
      <w:r>
        <w:t>PASS — PDF page objects = 2; processed pages = 2; completely processed pages = 2; report page-assessment rows = exactly 2 (one for each source page). Both required raster pages were previously processed at 300 DPI; E5 performed no source re-render and no crop attempts.</w:t>
      </w:r>
    </w:p>
    <w:p>
      <w:r>
        <w:t>PASS — Source page 1 content: 4 headings including the title, 19 logical form-field rows including the unlabeled email, and 4 original blank fields. DOCX has 6 content layout tables mapping to 2 logical GFM form tables plus email paragraphs; the separate preamble table is not part of Markdown. Headings, labels, values, paragraphs, numbers, dates, names, IDs, email addresses and attachment filenames reconcile between DOCX, state and Markdown.</w:t>
      </w:r>
    </w:p>
    <w:p>
      <w:r>
        <w:t>PASS — Markdown frontmatter source_file 004.pdf, languages French and English / American English, pages 2, confidence_index 94, handwritten_segments 0 and quality_report 004_AI Translation Quality Report.docx agree with this report. Markdown contains no preamble disclaimer, legend, translator’s note, trustworthiness table, page markers or blank-page note.</w:t>
      </w:r>
    </w:p>
    <w:p>
      <w:r>
        <w:t>PASS — Preamble Trustworthiness has exactly 2 page rows plus the total row (and a header): page 1 = 90%, recommended; page 2 = 100%, not required; Total (document) = 94%, recommended. Quality levels agree with the page and overall assessments; total row is bold. These are source-page values, not three translated-DOCX-page values.</w:t>
      </w:r>
    </w:p>
    <w:p>
      <w:r>
        <w:t>PASS — HW/signature count = 0; blue handwriting runs = 0; Markdown HW marker pairs = 0. UNCLEAR = 0; ILLEGIBLE = 0; per-page comments 0 + 0 = total 0. No applicable segment lacks a required color or comment. Every manual-review location above is separately listed with page, position, native source, source text, translation, uncertainty type and recommended check.</w:t>
      </w:r>
    </w:p>
    <w:p>
      <w:r>
        <w:t>PASS — Systematic source-to-English comparison found no added, removed or changed technical meaning. Source truncation, product mismatch and BL ambiguity remain transparent. All six terminology-state entries are to be exported unchanged with source term, English translation, occurrences, locations, variants and preferred decision; occurrences include the documented truncated source forms.</w:t>
      </w:r>
    </w:p>
    <w:p>
      <w:r>
        <w:t>Final validation: DOCX package XML/relationships and genuine translation footnote checked; report reopened for structural checks; report page table has exactly two body rows; score calculations recomputed and all actual formulas enclosed with the required #$# delimiters. Translation DOCX/Markdown hashes retained unchanged. Terminology CSV is saved only after this complete report, then validated for UTF-8 BOM, six columns, six state-derived entries and all values/counts.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004 — AI Translation Quality Report</dc:title>
  <dc:subject/>
  <dc:creator>AI Translation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