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AI Translation Quality Report</w:t>
      </w:r>
    </w:p>
    <w:p>
      <w:r>
        <w:rPr>
          <w:b/>
          <w:sz w:val="24"/>
        </w:rPr>
        <w:t>1. General information</w:t>
      </w:r>
    </w:p>
    <w:p>
      <w:r>
        <w:rPr>
          <w:b w:val="0"/>
        </w:rPr>
        <w:t>Processed file: 001.pdf</w:t>
      </w:r>
    </w:p>
    <w:p>
      <w:r>
        <w:rPr>
          <w:b w:val="0"/>
        </w:rPr>
        <w:t>Generated files:</w:t>
      </w:r>
    </w:p>
    <w:p>
      <w:r>
        <w:rPr>
          <w:b w:val="0"/>
        </w:rPr>
        <w:t xml:space="preserve">   • 001_Translated by AI.docx (translation document incl. preamble page)</w:t>
      </w:r>
    </w:p>
    <w:p>
      <w:r>
        <w:rPr>
          <w:b w:val="0"/>
        </w:rPr>
        <w:t xml:space="preserve">   • 001_Translated by AI.md (Markdown version)</w:t>
      </w:r>
    </w:p>
    <w:p>
      <w:r>
        <w:rPr>
          <w:b w:val="0"/>
        </w:rPr>
        <w:t xml:space="preserve">   • 001_AI Translation Quality Report.docx (this quality report)</w:t>
      </w:r>
    </w:p>
    <w:p>
      <w:r>
        <w:rPr>
          <w:b w:val="0"/>
        </w:rPr>
        <w:t xml:space="preserve">   • 001_AI Translation Used Terminology.csv (terminology list)</w:t>
      </w:r>
    </w:p>
    <w:p>
      <w:r>
        <w:rPr>
          <w:b w:val="0"/>
        </w:rPr>
        <w:t>LLM used: myGenAssist (Claude, Anthropic)</w:t>
      </w:r>
    </w:p>
    <w:p>
      <w:r>
        <w:rPr>
          <w:b w:val="0"/>
        </w:rPr>
        <w:t>Prompt file used: translate_file_into_en.md</w:t>
      </w:r>
    </w:p>
    <w:p>
      <w:r>
        <w:rPr>
          <w:b w:val="0"/>
        </w:rPr>
        <w:t>Prompt file version: 0.5</w:t>
      </w:r>
    </w:p>
    <w:p>
      <w:r>
        <w:rPr>
          <w:b/>
          <w:sz w:val="24"/>
        </w:rPr>
        <w:t>2. Overall result</w:t>
      </w:r>
    </w:p>
    <w:p>
      <w:r>
        <w:rPr>
          <w:b w:val="0"/>
        </w:rPr>
        <w:t>Output format generated: DOCX (Microsoft Word)</w:t>
      </w:r>
    </w:p>
    <w:p>
      <w:r>
        <w:rPr>
          <w:b w:val="0"/>
        </w:rPr>
        <w:t>Number of pages processed: 3</w:t>
      </w:r>
    </w:p>
    <w:p>
      <w:r>
        <w:rPr>
          <w:b w:val="0"/>
        </w:rPr>
        <w:t>Number of pages processed completely: 3</w:t>
      </w:r>
    </w:p>
    <w:p>
      <w:r>
        <w:rPr>
          <w:b w:val="0"/>
        </w:rPr>
        <w:t>Number of problematic pages: 3 (all pages contain handwriting requiring review)</w:t>
      </w:r>
    </w:p>
    <w:p>
      <w:r>
        <w:rPr>
          <w:b w:val="0"/>
        </w:rPr>
        <w:t>Total number of handwritten segments (HANDWRITING or SIGNATURE): 30</w:t>
      </w:r>
    </w:p>
    <w:p>
      <w:r>
        <w:rPr>
          <w:b w:val="0"/>
        </w:rPr>
        <w:t>Total number of comments set: 30</w:t>
      </w:r>
    </w:p>
    <w:p>
      <w:r>
        <w:rPr>
          <w:b w:val="0"/>
        </w:rPr>
        <w:t>Presentation level of the fallback cascade used: Level 1 — Word comments</w:t>
      </w:r>
    </w:p>
    <w:p>
      <w:r>
        <w:rPr>
          <w:b w:val="0"/>
        </w:rPr>
        <w:t>Language variant used: American English</w:t>
      </w:r>
    </w:p>
    <w:p>
      <w:r>
        <w:rPr>
          <w:b/>
          <w:sz w:val="24"/>
        </w:rPr>
        <w:t>3. Confidence Index</w:t>
      </w:r>
    </w:p>
    <w:p>
      <w:r>
        <w:rPr>
          <w:b w:val="0"/>
        </w:rPr>
        <w:t>Formula per page: Page confidence = (OCR confidence × 0.40) + (translation confidence × 0.40) + (layout confidence × 0.20).</w:t>
      </w:r>
    </w:p>
    <w:p>
      <w:r>
        <w:rPr>
          <w:b w:val="0"/>
        </w:rPr>
        <w:t>Formula for overall document: Confidence Index = (A × 0.25) + (B × 0.20) + (C × 0.25) + (D × 0.10) + (E × 0.10) + (F × 0.10).</w:t>
      </w:r>
    </w:p>
    <w:p>
      <w:r>
        <w:rPr>
          <w:b/>
        </w:rPr>
        <w:t>Overall value: 75 %</w:t>
      </w:r>
    </w:p>
    <w:p>
      <w:r>
        <w:rPr>
          <w:b w:val="0"/>
        </w:rPr>
        <w:t>Quality level: limited quality, technical re-examination recommended (70–79 %).</w:t>
      </w:r>
    </w:p>
    <w:p>
      <w:r>
        <w:rPr>
          <w:b w:val="0"/>
        </w:rPr>
        <w:t>Brief justification: The document is a scanned, partly handwritten form. Printed text was recognized reliably, but numerous handwritten field values (lot number, dates, address, free-text complaint descriptions, signature) carry inherent OCR uncertainty and must be verified against the original. The capping rule for illegible/technically relevant uncertain passages limits the overall value to a maximum of 75 %. No complete pages are missing; all 3 pages were processed.</w:t>
      </w:r>
    </w:p>
    <w:p>
      <w:r>
        <w:rPr>
          <w:b/>
          <w:sz w:val="24"/>
        </w:rPr>
        <w:t>4. Sub-scores</w:t>
      </w:r>
    </w:p>
    <w:p>
      <w:r>
        <w:rPr>
          <w:b w:val="0"/>
        </w:rPr>
        <w:t>A. Text capture and OCR: 72 %</w:t>
      </w:r>
    </w:p>
    <w:p>
      <w:r>
        <w:rPr>
          <w:b w:val="0"/>
        </w:rPr>
        <w:t>B. Completeness: 95 %</w:t>
      </w:r>
    </w:p>
    <w:p>
      <w:r>
        <w:rPr>
          <w:b w:val="0"/>
        </w:rPr>
        <w:t>C. Translation accuracy: 85 %</w:t>
      </w:r>
    </w:p>
    <w:p>
      <w:r>
        <w:rPr>
          <w:b w:val="0"/>
        </w:rPr>
        <w:t>D. Terminological consistency: 90 %</w:t>
      </w:r>
    </w:p>
    <w:p>
      <w:r>
        <w:rPr>
          <w:b w:val="0"/>
        </w:rPr>
        <w:t>E. Language quality: 92 %</w:t>
      </w:r>
    </w:p>
    <w:p>
      <w:r>
        <w:rPr>
          <w:b w:val="0"/>
        </w:rPr>
        <w:t>F. Layout and structural fidelity: 80 %</w:t>
      </w:r>
    </w:p>
    <w:p>
      <w:r>
        <w:rPr>
          <w:b w:val="0"/>
        </w:rPr>
        <w:t>Calculation: (72×0.25) + (95×0.20) + (85×0.25) + (90×0.10) + (92×0.10) + (80×0.10) = 18.0 + 19.0 + 21.25 + 9.0 + 9.2 + 8.0 = 84.45 %. Capped to 75 % under the rule “technically relevant passages illegible / numbers not reliably verifiable” (handwritten lot number, dates, signature and free-text entries require manual verification).</w:t>
      </w:r>
    </w:p>
    <w:p>
      <w:r>
        <w:rPr>
          <w:b/>
          <w:sz w:val="24"/>
        </w:rPr>
        <w:t>5. Page-related assessment (Phase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OCR %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Transl. %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Layout %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Page conf. %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HW seg.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Comments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Manual review</w:t>
            </w:r>
          </w:p>
        </w:tc>
      </w:tr>
      <w:tr>
        <w:tc>
          <w:tcPr>
            <w:tcW w:type="dxa" w:w="960"/>
          </w:tcPr>
          <w:p>
            <w:r/>
            <w:r>
              <w:t>1</w:t>
            </w:r>
          </w:p>
        </w:tc>
        <w:tc>
          <w:tcPr>
            <w:tcW w:type="dxa" w:w="960"/>
          </w:tcPr>
          <w:p>
            <w:r/>
            <w:r>
              <w:t>scanned (mixed)</w:t>
            </w:r>
          </w:p>
        </w:tc>
        <w:tc>
          <w:tcPr>
            <w:tcW w:type="dxa" w:w="960"/>
          </w:tcPr>
          <w:p>
            <w:r/>
            <w:r>
              <w:t>72</w:t>
            </w:r>
          </w:p>
        </w:tc>
        <w:tc>
          <w:tcPr>
            <w:tcW w:type="dxa" w:w="960"/>
          </w:tcPr>
          <w:p>
            <w:r/>
            <w:r>
              <w:t>85</w:t>
            </w:r>
          </w:p>
        </w:tc>
        <w:tc>
          <w:tcPr>
            <w:tcW w:type="dxa" w:w="960"/>
          </w:tcPr>
          <w:p>
            <w:r/>
            <w:r>
              <w:t>80</w:t>
            </w:r>
          </w:p>
        </w:tc>
        <w:tc>
          <w:tcPr>
            <w:tcW w:type="dxa" w:w="960"/>
          </w:tcPr>
          <w:p>
            <w:r/>
            <w:r>
              <w:t>78</w:t>
            </w:r>
          </w:p>
        </w:tc>
        <w:tc>
          <w:tcPr>
            <w:tcW w:type="dxa" w:w="960"/>
          </w:tcPr>
          <w:p>
            <w:r/>
            <w:r>
              <w:t>13</w:t>
            </w:r>
          </w:p>
        </w:tc>
        <w:tc>
          <w:tcPr>
            <w:tcW w:type="dxa" w:w="960"/>
          </w:tcPr>
          <w:p>
            <w:r/>
            <w:r>
              <w:t>13</w:t>
            </w:r>
          </w:p>
        </w:tc>
        <w:tc>
          <w:tcPr>
            <w:tcW w:type="dxa" w:w="960"/>
          </w:tcPr>
          <w:p>
            <w:r/>
            <w:r>
              <w:t>recommended</w:t>
            </w:r>
          </w:p>
        </w:tc>
      </w:tr>
      <w:tr>
        <w:tc>
          <w:tcPr>
            <w:tcW w:type="dxa" w:w="960"/>
          </w:tcPr>
          <w:p>
            <w:r/>
            <w:r>
              <w:t>2</w:t>
            </w:r>
          </w:p>
        </w:tc>
        <w:tc>
          <w:tcPr>
            <w:tcW w:type="dxa" w:w="960"/>
          </w:tcPr>
          <w:p>
            <w:r/>
            <w:r>
              <w:t>scanned (mixed)</w:t>
            </w:r>
          </w:p>
        </w:tc>
        <w:tc>
          <w:tcPr>
            <w:tcW w:type="dxa" w:w="960"/>
          </w:tcPr>
          <w:p>
            <w:r/>
            <w:r>
              <w:t>72</w:t>
            </w:r>
          </w:p>
        </w:tc>
        <w:tc>
          <w:tcPr>
            <w:tcW w:type="dxa" w:w="960"/>
          </w:tcPr>
          <w:p>
            <w:r/>
            <w:r>
              <w:t>85</w:t>
            </w:r>
          </w:p>
        </w:tc>
        <w:tc>
          <w:tcPr>
            <w:tcW w:type="dxa" w:w="960"/>
          </w:tcPr>
          <w:p>
            <w:r/>
            <w:r>
              <w:t>80</w:t>
            </w:r>
          </w:p>
        </w:tc>
        <w:tc>
          <w:tcPr>
            <w:tcW w:type="dxa" w:w="960"/>
          </w:tcPr>
          <w:p>
            <w:r/>
            <w:r>
              <w:t>78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recommended</w:t>
            </w:r>
          </w:p>
        </w:tc>
      </w:tr>
      <w:tr>
        <w:tc>
          <w:tcPr>
            <w:tcW w:type="dxa" w:w="960"/>
          </w:tcPr>
          <w:p>
            <w:r/>
            <w:r>
              <w:t>3</w:t>
            </w:r>
          </w:p>
        </w:tc>
        <w:tc>
          <w:tcPr>
            <w:tcW w:type="dxa" w:w="960"/>
          </w:tcPr>
          <w:p>
            <w:r/>
            <w:r>
              <w:t>scanned (mixed)</w:t>
            </w:r>
          </w:p>
        </w:tc>
        <w:tc>
          <w:tcPr>
            <w:tcW w:type="dxa" w:w="960"/>
          </w:tcPr>
          <w:p>
            <w:r/>
            <w:r>
              <w:t>70</w:t>
            </w:r>
          </w:p>
        </w:tc>
        <w:tc>
          <w:tcPr>
            <w:tcW w:type="dxa" w:w="960"/>
          </w:tcPr>
          <w:p>
            <w:r/>
            <w:r>
              <w:t>85</w:t>
            </w:r>
          </w:p>
        </w:tc>
        <w:tc>
          <w:tcPr>
            <w:tcW w:type="dxa" w:w="960"/>
          </w:tcPr>
          <w:p>
            <w:r/>
            <w:r>
              <w:t>80</w:t>
            </w:r>
          </w:p>
        </w:tc>
        <w:tc>
          <w:tcPr>
            <w:tcW w:type="dxa" w:w="960"/>
          </w:tcPr>
          <w:p>
            <w:r/>
            <w:r>
              <w:t>77</w:t>
            </w:r>
          </w:p>
        </w:tc>
        <w:tc>
          <w:tcPr>
            <w:tcW w:type="dxa" w:w="960"/>
          </w:tcPr>
          <w:p>
            <w:r/>
            <w:r>
              <w:t>14</w:t>
            </w:r>
          </w:p>
        </w:tc>
        <w:tc>
          <w:tcPr>
            <w:tcW w:type="dxa" w:w="960"/>
          </w:tcPr>
          <w:p>
            <w:r/>
            <w:r>
              <w:t>14</w:t>
            </w:r>
          </w:p>
        </w:tc>
        <w:tc>
          <w:tcPr>
            <w:tcW w:type="dxa" w:w="960"/>
          </w:tcPr>
          <w:p>
            <w:r/>
            <w:r>
              <w:t>recommended</w:t>
            </w:r>
          </w:p>
        </w:tc>
      </w:tr>
    </w:tbl>
    <w:p>
      <w:r>
        <w:rPr>
          <w:b w:val="0"/>
        </w:rPr>
        <w:t>Problem areas per page:</w:t>
      </w:r>
    </w:p>
    <w:p>
      <w:r>
        <w:rPr>
          <w:b w:val="0"/>
        </w:rPr>
        <w:t xml:space="preserve">   • Page 1: handwritten lot number (KTOVVC9), handwritten date, address and contact details; several checkboxes marked by hand.</w:t>
      </w:r>
    </w:p>
    <w:p>
      <w:r>
        <w:rPr>
          <w:b w:val="0"/>
        </w:rPr>
        <w:t xml:space="preserve">   • Page 2: handwritten checkboxes (o) and II(a); cursive free-text complaint description.</w:t>
      </w:r>
    </w:p>
    <w:p>
      <w:r>
        <w:rPr>
          <w:b w:val="0"/>
        </w:rPr>
        <w:t xml:space="preserve">   • Page 3: stylized signature (illegible as text), multiple handwritten dates and internal-use entries; cursive follow-up notes; ambiguous single character 'O' in Code field.</w:t>
      </w:r>
    </w:p>
    <w:p>
      <w:r>
        <w:rPr>
          <w:b w:val="0"/>
        </w:rPr>
        <w:t>Note: page confidences (78/78/77) vs. the overall Confidence Index (75). The overall index applies the Phase 8 capping rule for technically relevant uncertain handwriting and therefore sits at or below the page values; it is not a simple average of page confidences.</w:t>
      </w:r>
    </w:p>
    <w:p>
      <w:r>
        <w:rPr>
          <w:b/>
          <w:sz w:val="24"/>
        </w:rPr>
        <w:t>6. Identified risks</w:t>
      </w:r>
    </w:p>
    <w:p>
      <w:r>
        <w:rPr>
          <w:b w:val="0"/>
        </w:rPr>
        <w:t>• Handwritten lot number KTOVVC9 — reading plausible but should be verified against the physical box.</w:t>
      </w:r>
    </w:p>
    <w:p>
      <w:r>
        <w:rPr>
          <w:b w:val="0"/>
        </w:rPr>
        <w:t>• Handwritten dates in DD/MM/YYYY — retained in original notation to avoid regulatory ambiguity.</w:t>
      </w:r>
    </w:p>
    <w:p>
      <w:r>
        <w:rPr>
          <w:b w:val="0"/>
        </w:rPr>
        <w:t>• Cursive free-text entries (complaint description, follow-up note) — medium confidence.</w:t>
      </w:r>
    </w:p>
    <w:p>
      <w:r>
        <w:rPr>
          <w:b w:val="0"/>
        </w:rPr>
        <w:t>• Signature — stylized, not legible as text; marked [SIGNATURE].</w:t>
      </w:r>
    </w:p>
    <w:p>
      <w:r>
        <w:rPr>
          <w:b w:val="0"/>
        </w:rPr>
        <w:t>• Single handwritten character in 'Code' field — letter 'O' vs. digit '0' ambiguous.</w:t>
      </w:r>
    </w:p>
    <w:p>
      <w:r>
        <w:rPr>
          <w:b w:val="0"/>
        </w:rPr>
        <w:t>• Abbreviation 'SPR' interpreted as 'seringue préremplie' (pre-filled syringe) from context.</w:t>
      </w:r>
    </w:p>
    <w:p>
      <w:r>
        <w:rPr>
          <w:b w:val="0"/>
        </w:rPr>
        <w:t>• Bayer logo and header graphics not reproduced — indicated by [IMAGE].</w:t>
      </w:r>
    </w:p>
    <w:p>
      <w:r>
        <w:rPr>
          <w:b/>
          <w:sz w:val="24"/>
        </w:rPr>
        <w:t>7. Locations to be checked manually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Position / Section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Source text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English translation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Uncertainty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Recommended check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Section 1 – lot no.</w:t>
            </w:r>
          </w:p>
        </w:tc>
        <w:tc>
          <w:tcPr>
            <w:tcW w:type="dxa" w:w="1234"/>
          </w:tcPr>
          <w:p>
            <w:r/>
            <w:r>
              <w:t>handwriting</w:t>
            </w:r>
          </w:p>
        </w:tc>
        <w:tc>
          <w:tcPr>
            <w:tcW w:type="dxa" w:w="1234"/>
          </w:tcPr>
          <w:p>
            <w:r/>
            <w:r>
              <w:t>KTOVVC9</w:t>
            </w:r>
          </w:p>
        </w:tc>
        <w:tc>
          <w:tcPr>
            <w:tcW w:type="dxa" w:w="1234"/>
          </w:tcPr>
          <w:p>
            <w:r/>
            <w:r>
              <w:t>KTOVVC9</w:t>
            </w:r>
          </w:p>
        </w:tc>
        <w:tc>
          <w:tcPr>
            <w:tcW w:type="dxa" w:w="1234"/>
          </w:tcPr>
          <w:p>
            <w:r/>
            <w:r>
              <w:t>char. confusion (O/0, V/U)</w:t>
            </w:r>
          </w:p>
        </w:tc>
        <w:tc>
          <w:tcPr>
            <w:tcW w:type="dxa" w:w="1234"/>
          </w:tcPr>
          <w:p>
            <w:r/>
            <w:r>
              <w:t>verify against product box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Section 1 – date of event</w:t>
            </w:r>
          </w:p>
        </w:tc>
        <w:tc>
          <w:tcPr>
            <w:tcW w:type="dxa" w:w="1234"/>
          </w:tcPr>
          <w:p>
            <w:r/>
            <w:r>
              <w:t>handwriting</w:t>
            </w:r>
          </w:p>
        </w:tc>
        <w:tc>
          <w:tcPr>
            <w:tcW w:type="dxa" w:w="1234"/>
          </w:tcPr>
          <w:p>
            <w:r/>
            <w:r>
              <w:t>08/04/2026</w:t>
            </w:r>
          </w:p>
        </w:tc>
        <w:tc>
          <w:tcPr>
            <w:tcW w:type="dxa" w:w="1234"/>
          </w:tcPr>
          <w:p>
            <w:r/>
            <w:r>
              <w:t>08/04/2026 (Apr 8)</w:t>
            </w:r>
          </w:p>
        </w:tc>
        <w:tc>
          <w:tcPr>
            <w:tcW w:type="dxa" w:w="1234"/>
          </w:tcPr>
          <w:p>
            <w:r/>
            <w:r>
              <w:t>date notation</w:t>
            </w:r>
          </w:p>
        </w:tc>
        <w:tc>
          <w:tcPr>
            <w:tcW w:type="dxa" w:w="1234"/>
          </w:tcPr>
          <w:p>
            <w:r/>
            <w:r>
              <w:t>confirm DD/MM/YYYY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Section 1 – office name</w:t>
            </w:r>
          </w:p>
        </w:tc>
        <w:tc>
          <w:tcPr>
            <w:tcW w:type="dxa" w:w="1234"/>
          </w:tcPr>
          <w:p>
            <w:r/>
            <w:r>
              <w:t>handwriting</w:t>
            </w:r>
          </w:p>
        </w:tc>
        <w:tc>
          <w:tcPr>
            <w:tcW w:type="dxa" w:w="1234"/>
          </w:tcPr>
          <w:p>
            <w:r/>
            <w:r>
              <w:t>OPHTAVALMY</w:t>
            </w:r>
          </w:p>
        </w:tc>
        <w:tc>
          <w:tcPr>
            <w:tcW w:type="dxa" w:w="1234"/>
          </w:tcPr>
          <w:p>
            <w:r/>
            <w:r>
              <w:t>OPHTAVALMY</w:t>
            </w:r>
          </w:p>
        </w:tc>
        <w:tc>
          <w:tcPr>
            <w:tcW w:type="dxa" w:w="1234"/>
          </w:tcPr>
          <w:p>
            <w:r/>
            <w:r>
              <w:t>proper name</w:t>
            </w:r>
          </w:p>
        </w:tc>
        <w:tc>
          <w:tcPr>
            <w:tcW w:type="dxa" w:w="1234"/>
          </w:tcPr>
          <w:p>
            <w:r/>
            <w:r>
              <w:t>confirm spelling</w:t>
            </w:r>
          </w:p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t>Section 2 – description</w:t>
            </w:r>
          </w:p>
        </w:tc>
        <w:tc>
          <w:tcPr>
            <w:tcW w:type="dxa" w:w="1234"/>
          </w:tcPr>
          <w:p>
            <w:r/>
            <w:r>
              <w:t>handwriting</w:t>
            </w:r>
          </w:p>
        </w:tc>
        <w:tc>
          <w:tcPr>
            <w:tcW w:type="dxa" w:w="1234"/>
          </w:tcPr>
          <w:p>
            <w:r/>
            <w:r>
              <w:t>Condensation / eau dans l'emballage avant ouverture</w:t>
            </w:r>
          </w:p>
        </w:tc>
        <w:tc>
          <w:tcPr>
            <w:tcW w:type="dxa" w:w="1234"/>
          </w:tcPr>
          <w:p>
            <w:r/>
            <w:r>
              <w:t>Condensation / water in the packaging before opening</w:t>
            </w:r>
          </w:p>
        </w:tc>
        <w:tc>
          <w:tcPr>
            <w:tcW w:type="dxa" w:w="1234"/>
          </w:tcPr>
          <w:p>
            <w:r/>
            <w:r>
              <w:t>cursive text</w:t>
            </w:r>
          </w:p>
        </w:tc>
        <w:tc>
          <w:tcPr>
            <w:tcW w:type="dxa" w:w="1234"/>
          </w:tcPr>
          <w:p>
            <w:r/>
            <w:r>
              <w:t>verify reading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Section 3 – signature</w:t>
            </w:r>
          </w:p>
        </w:tc>
        <w:tc>
          <w:tcPr>
            <w:tcW w:type="dxa" w:w="1234"/>
          </w:tcPr>
          <w:p>
            <w:r/>
            <w:r>
              <w:t>signature</w:t>
            </w:r>
          </w:p>
        </w:tc>
        <w:tc>
          <w:tcPr>
            <w:tcW w:type="dxa" w:w="1234"/>
          </w:tcPr>
          <w:p>
            <w:r/>
            <w:r>
              <w:t>(illegible)</w:t>
            </w:r>
          </w:p>
        </w:tc>
        <w:tc>
          <w:tcPr>
            <w:tcW w:type="dxa" w:w="1234"/>
          </w:tcPr>
          <w:p>
            <w:r/>
            <w:r>
              <w:t>[signature present]</w:t>
            </w:r>
          </w:p>
        </w:tc>
        <w:tc>
          <w:tcPr>
            <w:tcW w:type="dxa" w:w="1234"/>
          </w:tcPr>
          <w:p>
            <w:r/>
            <w:r>
              <w:t>not legible</w:t>
            </w:r>
          </w:p>
        </w:tc>
        <w:tc>
          <w:tcPr>
            <w:tcW w:type="dxa" w:w="1234"/>
          </w:tcPr>
          <w:p>
            <w:r/>
            <w:r>
              <w:t>verify signatory identity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Internal use – Code</w:t>
            </w:r>
          </w:p>
        </w:tc>
        <w:tc>
          <w:tcPr>
            <w:tcW w:type="dxa" w:w="1234"/>
          </w:tcPr>
          <w:p>
            <w:r/>
            <w:r>
              <w:t>handwriting</w:t>
            </w:r>
          </w:p>
        </w:tc>
        <w:tc>
          <w:tcPr>
            <w:tcW w:type="dxa" w:w="1234"/>
          </w:tcPr>
          <w:p>
            <w:r/>
            <w:r>
              <w:t>O</w:t>
            </w:r>
          </w:p>
        </w:tc>
        <w:tc>
          <w:tcPr>
            <w:tcW w:type="dxa" w:w="1234"/>
          </w:tcPr>
          <w:p>
            <w:r/>
            <w:r>
              <w:t>O</w:t>
            </w:r>
          </w:p>
        </w:tc>
        <w:tc>
          <w:tcPr>
            <w:tcW w:type="dxa" w:w="1234"/>
          </w:tcPr>
          <w:p>
            <w:r/>
            <w:r>
              <w:t>O vs 0 ambiguous</w:t>
            </w:r>
          </w:p>
        </w:tc>
        <w:tc>
          <w:tcPr>
            <w:tcW w:type="dxa" w:w="1234"/>
          </w:tcPr>
          <w:p>
            <w:r/>
            <w:r>
              <w:t>confirm intended value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Internal use – reg. no.</w:t>
            </w:r>
          </w:p>
        </w:tc>
        <w:tc>
          <w:tcPr>
            <w:tcW w:type="dxa" w:w="1234"/>
          </w:tcPr>
          <w:p>
            <w:r/>
            <w:r>
              <w:t>handwriting</w:t>
            </w:r>
          </w:p>
        </w:tc>
        <w:tc>
          <w:tcPr>
            <w:tcW w:type="dxa" w:w="1234"/>
          </w:tcPr>
          <w:p>
            <w:r/>
            <w:r>
              <w:t>CRS-20260421-97-1</w:t>
            </w:r>
          </w:p>
        </w:tc>
        <w:tc>
          <w:tcPr>
            <w:tcW w:type="dxa" w:w="1234"/>
          </w:tcPr>
          <w:p>
            <w:r/>
            <w:r>
              <w:t>CRS-20260421-97-1</w:t>
            </w:r>
          </w:p>
        </w:tc>
        <w:tc>
          <w:tcPr>
            <w:tcW w:type="dxa" w:w="1234"/>
          </w:tcPr>
          <w:p>
            <w:r/>
            <w:r>
              <w:t>reference number</w:t>
            </w:r>
          </w:p>
        </w:tc>
        <w:tc>
          <w:tcPr>
            <w:tcW w:type="dxa" w:w="1234"/>
          </w:tcPr>
          <w:p>
            <w:r/>
            <w:r>
              <w:t>confirm digits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Follow-up – reason 1</w:t>
            </w:r>
          </w:p>
        </w:tc>
        <w:tc>
          <w:tcPr>
            <w:tcW w:type="dxa" w:w="1234"/>
          </w:tcPr>
          <w:p>
            <w:r/>
            <w:r>
              <w:t>handwriting</w:t>
            </w:r>
          </w:p>
        </w:tc>
        <w:tc>
          <w:tcPr>
            <w:tcW w:type="dxa" w:w="1234"/>
          </w:tcPr>
          <w:p>
            <w:r/>
            <w:r>
              <w:t>relance pour disponibilité produit, raisons cochées et forme pharmaceutique</w:t>
            </w:r>
          </w:p>
        </w:tc>
        <w:tc>
          <w:tcPr>
            <w:tcW w:type="dxa" w:w="1234"/>
          </w:tcPr>
          <w:p>
            <w:r/>
            <w:r>
              <w:t>follow-up for product availability, reasons checked and pharmaceutical form</w:t>
            </w:r>
          </w:p>
        </w:tc>
        <w:tc>
          <w:tcPr>
            <w:tcW w:type="dxa" w:w="1234"/>
          </w:tcPr>
          <w:p>
            <w:r/>
            <w:r>
              <w:t>cursive text</w:t>
            </w:r>
          </w:p>
        </w:tc>
        <w:tc>
          <w:tcPr>
            <w:tcW w:type="dxa" w:w="1234"/>
          </w:tcPr>
          <w:p>
            <w:r/>
            <w:r>
              <w:t>verify reading</w:t>
            </w:r>
          </w:p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t>Follow-up – addition</w:t>
            </w:r>
          </w:p>
        </w:tc>
        <w:tc>
          <w:tcPr>
            <w:tcW w:type="dxa" w:w="1234"/>
          </w:tcPr>
          <w:p>
            <w:r/>
            <w:r>
              <w:t>handwriting</w:t>
            </w:r>
          </w:p>
        </w:tc>
        <w:tc>
          <w:tcPr>
            <w:tcW w:type="dxa" w:w="1234"/>
          </w:tcPr>
          <w:p>
            <w:r/>
            <w:r>
              <w:t>le secrétariat indique que la SPR est disponible et qu'il n'y a pas eu de rupture de la chaine du froid</w:t>
            </w:r>
          </w:p>
        </w:tc>
        <w:tc>
          <w:tcPr>
            <w:tcW w:type="dxa" w:w="1234"/>
          </w:tcPr>
          <w:p>
            <w:r/>
            <w:r>
              <w:t>the secretariat indicates that the PFS is available and that there has been no break in the cold chain</w:t>
            </w:r>
          </w:p>
        </w:tc>
        <w:tc>
          <w:tcPr>
            <w:tcW w:type="dxa" w:w="1234"/>
          </w:tcPr>
          <w:p>
            <w:r/>
            <w:r>
              <w:t>cursive text; abbr. SPR</w:t>
            </w:r>
          </w:p>
        </w:tc>
        <w:tc>
          <w:tcPr>
            <w:tcW w:type="dxa" w:w="1234"/>
          </w:tcPr>
          <w:p>
            <w:r/>
            <w:r>
              <w:t>verify reading and abbreviation</w:t>
            </w:r>
          </w:p>
        </w:tc>
      </w:tr>
    </w:tbl>
    <w:p>
      <w:r>
        <w:rPr>
          <w:b/>
          <w:sz w:val="24"/>
        </w:rPr>
        <w:t>8. Untranslated content</w:t>
      </w:r>
    </w:p>
    <w:p>
      <w:r>
        <w:rPr>
          <w:b w:val="0"/>
        </w:rPr>
        <w:t>• Proper names, product names and identifiers retained unchanged: EYLEA®, Aflibercept, Universal Medica, Bayer HealthCare, CRS-FR-2024-000001, PP-EYL-FR-0653-1, CRS-20260421-97-1, RPPS 10100959542, lot no. KTOVVC9.</w:t>
      </w:r>
    </w:p>
    <w:p>
      <w:r>
        <w:rPr>
          <w:b w:val="0"/>
        </w:rPr>
        <w:t>• Email addresses, fax and telephone numbers, postal addresses retained verbatim.</w:t>
      </w:r>
    </w:p>
    <w:p>
      <w:r>
        <w:rPr>
          <w:b w:val="0"/>
        </w:rPr>
        <w:t>• 'Conventionné Secteur II' kept in French with an explanatory gloss (contracted, sector II), as it is a French healthcare-status designation with no exact authorized English equivalent.</w:t>
      </w:r>
    </w:p>
    <w:p>
      <w:r>
        <w:rPr>
          <w:b w:val="0"/>
        </w:rPr>
        <w:t>• 'CNIL' and 'Informatique et Libertés' retained as French proper names with an explanatory gloss.</w:t>
      </w:r>
    </w:p>
    <w:p>
      <w:r>
        <w:rPr>
          <w:b/>
          <w:sz w:val="24"/>
        </w:rPr>
        <w:t>9. Limitations</w:t>
      </w:r>
    </w:p>
    <w:p>
      <w:r>
        <w:rPr>
          <w:b w:val="0"/>
        </w:rPr>
        <w:t>• Fallback cascade level used: Level 1 (Word comments). All handwritten form fields/blocks and the signature were commented; no reduction of scope was necessary.</w:t>
      </w:r>
    </w:p>
    <w:p>
      <w:r>
        <w:rPr>
          <w:b w:val="0"/>
        </w:rPr>
        <w:t>• Rendering strategy: all 3 pages rendered as raster images at 300 DPI (pages 1–2 have no native text; page 3 has minimal native text). OCR performed on the rendered images. No crop re-rendering was required; no location remained classified as [ILLEGIBLE].</w:t>
      </w:r>
    </w:p>
    <w:p>
      <w:r>
        <w:rPr>
          <w:b w:val="0"/>
        </w:rPr>
        <w:t>• Header/footer graphics and the Bayer logo could not be reproduced as images and are indicated by [IMAGE].</w:t>
      </w:r>
    </w:p>
    <w:p>
      <w:r>
        <w:rPr>
          <w:b w:val="0"/>
        </w:rPr>
        <w:t>• Handwritten dates are retained in the original DD/MM/YYYY notation in the body text to avoid regulatory ambiguity; the comments note the corresponding month/day interpretation.</w:t>
      </w:r>
    </w:p>
    <w:p>
      <w:r>
        <w:rPr>
          <w:b w:val="0"/>
        </w:rPr>
        <w:t>• The Confidence Index is a reasoned estimate and does not replace review by qualified specialists, which is required for this regulatory/pharmacovigilance-related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