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001 — AI Translation Quality Report</w:t>
      </w:r>
    </w:p>
    <w:p>
      <w:pPr>
        <w:pStyle w:val="Heading1"/>
      </w:pPr>
      <w:r>
        <w:t>Document and output identification</w:t>
      </w:r>
    </w:p>
    <w:p>
      <w:r>
        <w:t>Processed file: 001.pdf</w:t>
        <w:br/>
        <w:t>Generated files, in completed sequential order:</w:t>
        <w:br/>
        <w:t>1. 001_Translated by AI.docx</w:t>
        <w:br/>
        <w:t>2. 001_Translated by AI.md</w:t>
        <w:br/>
        <w:t>3. 001_AI Translation Quality Report.docx</w:t>
        <w:br/>
        <w:t>4. 001_AI Translation Used Terminology.csv</w:t>
        <w:br/>
        <w:t>LLM: OpenAI ChatGPT; exact model version not exposed</w:t>
        <w:br/>
        <w:t>Prompt file: prompt.en.0.5.md</w:t>
        <w:br/>
        <w:t>Prompt version: 0.5</w:t>
        <w:br/>
        <w:t>Source: French. Target: American English.</w:t>
      </w:r>
    </w:p>
    <w:p>
      <w:pPr>
        <w:pStyle w:val="Heading1"/>
      </w:pPr>
      <w:r>
        <w:t>Overall result</w:t>
      </w:r>
    </w:p>
    <w:p>
      <w:r>
        <w:t>Output: DOCX translation with a gray preamble, genuine Word comments and a genuine preamble footnote; additional Markdown, DOCX quality report and CSV terminology list.</w:t>
        <w:br/>
        <w:t>Programmatically verified source page count: 3; 596 × 842 pt, portrait, all pages. Pages processed: 3; pages processed completely to the extent of all visible source content: 3. Problematic/review pages: 3. Two scanned pages (66.7%); one mixed page (33.3%); zero purely native pages. Native text: 0 characters on p. 1 and p. 2; 288 characters on p. 3 (previously verified).</w:t>
        <w:br/>
        <w:t>Handwritten/signature segments: 19 (p. 1: 14; p. 2: 3; p. 3: 2). Comments: 20 (p. 1: 14; p. 2: 4; p. 3: 2). Presentation cascade: level 1, Word comments; no comment fallback required. No complete page is missing. Physically covered text cannot be recovered and is not invented.</w:t>
      </w:r>
    </w:p>
    <w:tbl>
      <w:tblPr>
        <w:tblStyle w:val="TableGrid"/>
        <w:tblW w:type="auto" w:w="0"/>
        <w:tblLayout w:type="fixed"/>
        <w:tblLook w:firstColumn="1" w:firstRow="1" w:lastColumn="0" w:lastRow="0" w:noHBand="0" w:noVBand="1" w:val="04A0"/>
      </w:tblPr>
      <w:tblGrid>
        <w:gridCol w:w="1173"/>
        <w:gridCol w:w="1173"/>
        <w:gridCol w:w="1173"/>
        <w:gridCol w:w="1173"/>
        <w:gridCol w:w="1173"/>
        <w:gridCol w:w="1173"/>
        <w:gridCol w:w="1173"/>
        <w:gridCol w:w="1173"/>
        <w:gridCol w:w="1173"/>
      </w:tblGrid>
      <w:tr>
        <w:trPr>
          <w:cantSplit/>
        </w:trPr>
        <w:tc>
          <w:tcPr>
            <w:tcW w:type="dxa" w:w="1173"/>
            <w:tcMar>
              <w:top w:w="30" w:type="dxa"/>
              <w:left w:w="65" w:type="dxa"/>
              <w:bottom w:w="30" w:type="dxa"/>
              <w:right w:w="65" w:type="dxa"/>
            </w:tcMar>
          </w:tcPr>
          <w:p>
            <w:pPr>
              <w:spacing w:after="0" w:before="0"/>
            </w:pPr>
            <w:r>
              <w:t>Page</w:t>
            </w:r>
          </w:p>
        </w:tc>
        <w:tc>
          <w:tcPr>
            <w:tcW w:type="dxa" w:w="1173"/>
            <w:tcMar>
              <w:top w:w="30" w:type="dxa"/>
              <w:left w:w="65" w:type="dxa"/>
              <w:bottom w:w="30" w:type="dxa"/>
              <w:right w:w="65" w:type="dxa"/>
            </w:tcMar>
          </w:tcPr>
          <w:p>
            <w:pPr>
              <w:spacing w:after="0" w:before="0"/>
            </w:pPr>
            <w:r>
              <w:t>Type</w:t>
            </w:r>
          </w:p>
        </w:tc>
        <w:tc>
          <w:tcPr>
            <w:tcW w:type="dxa" w:w="1173"/>
            <w:tcMar>
              <w:top w:w="30" w:type="dxa"/>
              <w:left w:w="65" w:type="dxa"/>
              <w:bottom w:w="30" w:type="dxa"/>
              <w:right w:w="65" w:type="dxa"/>
            </w:tcMar>
          </w:tcPr>
          <w:p>
            <w:pPr>
              <w:spacing w:after="0" w:before="0"/>
            </w:pPr>
            <w:r>
              <w:t>OCR</w:t>
            </w:r>
          </w:p>
        </w:tc>
        <w:tc>
          <w:tcPr>
            <w:tcW w:type="dxa" w:w="1173"/>
            <w:tcMar>
              <w:top w:w="30" w:type="dxa"/>
              <w:left w:w="65" w:type="dxa"/>
              <w:bottom w:w="30" w:type="dxa"/>
              <w:right w:w="65" w:type="dxa"/>
            </w:tcMar>
          </w:tcPr>
          <w:p>
            <w:pPr>
              <w:spacing w:after="0" w:before="0"/>
            </w:pPr>
            <w:r>
              <w:t>Translation</w:t>
            </w:r>
          </w:p>
        </w:tc>
        <w:tc>
          <w:tcPr>
            <w:tcW w:type="dxa" w:w="1173"/>
            <w:tcMar>
              <w:top w:w="30" w:type="dxa"/>
              <w:left w:w="65" w:type="dxa"/>
              <w:bottom w:w="30" w:type="dxa"/>
              <w:right w:w="65" w:type="dxa"/>
            </w:tcMar>
          </w:tcPr>
          <w:p>
            <w:pPr>
              <w:spacing w:after="0" w:before="0"/>
            </w:pPr>
            <w:r>
              <w:t>Layout</w:t>
            </w:r>
          </w:p>
        </w:tc>
        <w:tc>
          <w:tcPr>
            <w:tcW w:type="dxa" w:w="1173"/>
            <w:tcMar>
              <w:top w:w="30" w:type="dxa"/>
              <w:left w:w="65" w:type="dxa"/>
              <w:bottom w:w="30" w:type="dxa"/>
              <w:right w:w="65" w:type="dxa"/>
            </w:tcMar>
          </w:tcPr>
          <w:p>
            <w:pPr>
              <w:spacing w:after="0" w:before="0"/>
            </w:pPr>
            <w:r>
              <w:t>Page confidence</w:t>
            </w:r>
          </w:p>
        </w:tc>
        <w:tc>
          <w:tcPr>
            <w:tcW w:type="dxa" w:w="1173"/>
            <w:tcMar>
              <w:top w:w="30" w:type="dxa"/>
              <w:left w:w="65" w:type="dxa"/>
              <w:bottom w:w="30" w:type="dxa"/>
              <w:right w:w="65" w:type="dxa"/>
            </w:tcMar>
          </w:tcPr>
          <w:p>
            <w:pPr>
              <w:spacing w:after="0" w:before="0"/>
            </w:pPr>
            <w:r>
              <w:t>HW</w:t>
            </w:r>
          </w:p>
        </w:tc>
        <w:tc>
          <w:tcPr>
            <w:tcW w:type="dxa" w:w="1173"/>
            <w:tcMar>
              <w:top w:w="30" w:type="dxa"/>
              <w:left w:w="65" w:type="dxa"/>
              <w:bottom w:w="30" w:type="dxa"/>
              <w:right w:w="65" w:type="dxa"/>
            </w:tcMar>
          </w:tcPr>
          <w:p>
            <w:pPr>
              <w:spacing w:after="0" w:before="0"/>
            </w:pPr>
            <w:r>
              <w:t>Comments</w:t>
            </w:r>
          </w:p>
        </w:tc>
        <w:tc>
          <w:tcPr>
            <w:tcW w:type="dxa" w:w="1173"/>
            <w:tcMar>
              <w:top w:w="30" w:type="dxa"/>
              <w:left w:w="65" w:type="dxa"/>
              <w:bottom w:w="30" w:type="dxa"/>
              <w:right w:w="65" w:type="dxa"/>
            </w:tcMar>
          </w:tcPr>
          <w:p>
            <w:pPr>
              <w:spacing w:after="0" w:before="0"/>
            </w:pPr>
            <w:r>
              <w:t>Review</w:t>
            </w:r>
          </w:p>
        </w:tc>
      </w:tr>
      <w:tr>
        <w:trPr>
          <w:cantSplit/>
        </w:trPr>
        <w:tc>
          <w:tcPr>
            <w:tcW w:type="dxa" w:w="1173"/>
            <w:tcMar>
              <w:top w:w="30" w:type="dxa"/>
              <w:left w:w="65" w:type="dxa"/>
              <w:bottom w:w="30" w:type="dxa"/>
              <w:right w:w="65" w:type="dxa"/>
            </w:tcMar>
          </w:tcPr>
          <w:p>
            <w:pPr>
              <w:spacing w:after="0" w:before="0"/>
            </w:pPr>
            <w:r>
              <w:t>1</w:t>
            </w:r>
          </w:p>
        </w:tc>
        <w:tc>
          <w:tcPr>
            <w:tcW w:type="dxa" w:w="1173"/>
            <w:tcMar>
              <w:top w:w="30" w:type="dxa"/>
              <w:left w:w="65" w:type="dxa"/>
              <w:bottom w:w="30" w:type="dxa"/>
              <w:right w:w="65" w:type="dxa"/>
            </w:tcMar>
          </w:tcPr>
          <w:p>
            <w:pPr>
              <w:spacing w:after="0" w:before="0"/>
            </w:pPr>
            <w:r>
              <w:t>scanned</w:t>
            </w:r>
          </w:p>
        </w:tc>
        <w:tc>
          <w:tcPr>
            <w:tcW w:type="dxa" w:w="1173"/>
            <w:tcMar>
              <w:top w:w="30" w:type="dxa"/>
              <w:left w:w="65" w:type="dxa"/>
              <w:bottom w:w="30" w:type="dxa"/>
              <w:right w:w="65" w:type="dxa"/>
            </w:tcMar>
          </w:tcPr>
          <w:p>
            <w:pPr>
              <w:spacing w:after="0" w:before="0"/>
            </w:pPr>
            <w:r>
              <w:t>85%</w:t>
            </w:r>
          </w:p>
        </w:tc>
        <w:tc>
          <w:tcPr>
            <w:tcW w:type="dxa" w:w="1173"/>
            <w:tcMar>
              <w:top w:w="30" w:type="dxa"/>
              <w:left w:w="65" w:type="dxa"/>
              <w:bottom w:w="30" w:type="dxa"/>
              <w:right w:w="65" w:type="dxa"/>
            </w:tcMar>
          </w:tcPr>
          <w:p>
            <w:pPr>
              <w:spacing w:after="0" w:before="0"/>
            </w:pPr>
            <w:r>
              <w:t>94%</w:t>
            </w:r>
          </w:p>
        </w:tc>
        <w:tc>
          <w:tcPr>
            <w:tcW w:type="dxa" w:w="1173"/>
            <w:tcMar>
              <w:top w:w="30" w:type="dxa"/>
              <w:left w:w="65" w:type="dxa"/>
              <w:bottom w:w="30" w:type="dxa"/>
              <w:right w:w="65" w:type="dxa"/>
            </w:tcMar>
          </w:tcPr>
          <w:p>
            <w:pPr>
              <w:spacing w:after="0" w:before="0"/>
            </w:pPr>
            <w:r>
              <w:t>85%</w:t>
            </w:r>
          </w:p>
        </w:tc>
        <w:tc>
          <w:tcPr>
            <w:tcW w:type="dxa" w:w="1173"/>
            <w:tcMar>
              <w:top w:w="30" w:type="dxa"/>
              <w:left w:w="65" w:type="dxa"/>
              <w:bottom w:w="30" w:type="dxa"/>
              <w:right w:w="65" w:type="dxa"/>
            </w:tcMar>
          </w:tcPr>
          <w:p>
            <w:pPr>
              <w:spacing w:after="0" w:before="0"/>
            </w:pPr>
            <w:r>
              <w:t>89%</w:t>
            </w:r>
          </w:p>
        </w:tc>
        <w:tc>
          <w:tcPr>
            <w:tcW w:type="dxa" w:w="1173"/>
            <w:tcMar>
              <w:top w:w="30" w:type="dxa"/>
              <w:left w:w="65" w:type="dxa"/>
              <w:bottom w:w="30" w:type="dxa"/>
              <w:right w:w="65" w:type="dxa"/>
            </w:tcMar>
          </w:tcPr>
          <w:p>
            <w:pPr>
              <w:spacing w:after="0" w:before="0"/>
            </w:pPr>
            <w:r>
              <w:t>14</w:t>
            </w:r>
          </w:p>
        </w:tc>
        <w:tc>
          <w:tcPr>
            <w:tcW w:type="dxa" w:w="1173"/>
            <w:tcMar>
              <w:top w:w="30" w:type="dxa"/>
              <w:left w:w="65" w:type="dxa"/>
              <w:bottom w:w="30" w:type="dxa"/>
              <w:right w:w="65" w:type="dxa"/>
            </w:tcMar>
          </w:tcPr>
          <w:p>
            <w:pPr>
              <w:spacing w:after="0" w:before="0"/>
            </w:pPr>
            <w:r>
              <w:t>14</w:t>
            </w:r>
          </w:p>
        </w:tc>
        <w:tc>
          <w:tcPr>
            <w:tcW w:type="dxa" w:w="1173"/>
            <w:tcMar>
              <w:top w:w="30" w:type="dxa"/>
              <w:left w:w="65" w:type="dxa"/>
              <w:bottom w:w="30" w:type="dxa"/>
              <w:right w:w="65" w:type="dxa"/>
            </w:tcMar>
          </w:tcPr>
          <w:p>
            <w:pPr>
              <w:spacing w:after="0" w:before="0"/>
            </w:pPr>
            <w:r>
              <w:t>recommended</w:t>
            </w:r>
          </w:p>
        </w:tc>
      </w:tr>
      <w:tr>
        <w:trPr>
          <w:cantSplit/>
        </w:trPr>
        <w:tc>
          <w:tcPr>
            <w:tcW w:type="dxa" w:w="1173"/>
            <w:tcMar>
              <w:top w:w="30" w:type="dxa"/>
              <w:left w:w="65" w:type="dxa"/>
              <w:bottom w:w="30" w:type="dxa"/>
              <w:right w:w="65" w:type="dxa"/>
            </w:tcMar>
          </w:tcPr>
          <w:p>
            <w:pPr>
              <w:spacing w:after="0" w:before="0"/>
            </w:pPr>
            <w:r>
              <w:t>2</w:t>
            </w:r>
          </w:p>
        </w:tc>
        <w:tc>
          <w:tcPr>
            <w:tcW w:type="dxa" w:w="1173"/>
            <w:tcMar>
              <w:top w:w="30" w:type="dxa"/>
              <w:left w:w="65" w:type="dxa"/>
              <w:bottom w:w="30" w:type="dxa"/>
              <w:right w:w="65" w:type="dxa"/>
            </w:tcMar>
          </w:tcPr>
          <w:p>
            <w:pPr>
              <w:spacing w:after="0" w:before="0"/>
            </w:pPr>
            <w:r>
              <w:t>scanned</w:t>
            </w:r>
          </w:p>
        </w:tc>
        <w:tc>
          <w:tcPr>
            <w:tcW w:type="dxa" w:w="1173"/>
            <w:tcMar>
              <w:top w:w="30" w:type="dxa"/>
              <w:left w:w="65" w:type="dxa"/>
              <w:bottom w:w="30" w:type="dxa"/>
              <w:right w:w="65" w:type="dxa"/>
            </w:tcMar>
          </w:tcPr>
          <w:p>
            <w:pPr>
              <w:spacing w:after="0" w:before="0"/>
            </w:pPr>
            <w:r>
              <w:t>87%</w:t>
            </w:r>
          </w:p>
        </w:tc>
        <w:tc>
          <w:tcPr>
            <w:tcW w:type="dxa" w:w="1173"/>
            <w:tcMar>
              <w:top w:w="30" w:type="dxa"/>
              <w:left w:w="65" w:type="dxa"/>
              <w:bottom w:w="30" w:type="dxa"/>
              <w:right w:w="65" w:type="dxa"/>
            </w:tcMar>
          </w:tcPr>
          <w:p>
            <w:pPr>
              <w:spacing w:after="0" w:before="0"/>
            </w:pPr>
            <w:r>
              <w:t>94%</w:t>
            </w:r>
          </w:p>
        </w:tc>
        <w:tc>
          <w:tcPr>
            <w:tcW w:type="dxa" w:w="1173"/>
            <w:tcMar>
              <w:top w:w="30" w:type="dxa"/>
              <w:left w:w="65" w:type="dxa"/>
              <w:bottom w:w="30" w:type="dxa"/>
              <w:right w:w="65" w:type="dxa"/>
            </w:tcMar>
          </w:tcPr>
          <w:p>
            <w:pPr>
              <w:spacing w:after="0" w:before="0"/>
            </w:pPr>
            <w:r>
              <w:t>85%</w:t>
            </w:r>
          </w:p>
        </w:tc>
        <w:tc>
          <w:tcPr>
            <w:tcW w:type="dxa" w:w="1173"/>
            <w:tcMar>
              <w:top w:w="30" w:type="dxa"/>
              <w:left w:w="65" w:type="dxa"/>
              <w:bottom w:w="30" w:type="dxa"/>
              <w:right w:w="65" w:type="dxa"/>
            </w:tcMar>
          </w:tcPr>
          <w:p>
            <w:pPr>
              <w:spacing w:after="0" w:before="0"/>
            </w:pPr>
            <w:r>
              <w:t>89%</w:t>
            </w:r>
          </w:p>
        </w:tc>
        <w:tc>
          <w:tcPr>
            <w:tcW w:type="dxa" w:w="1173"/>
            <w:tcMar>
              <w:top w:w="30" w:type="dxa"/>
              <w:left w:w="65" w:type="dxa"/>
              <w:bottom w:w="30" w:type="dxa"/>
              <w:right w:w="65" w:type="dxa"/>
            </w:tcMar>
          </w:tcPr>
          <w:p>
            <w:pPr>
              <w:spacing w:after="0" w:before="0"/>
            </w:pPr>
            <w:r>
              <w:t>3</w:t>
            </w:r>
          </w:p>
        </w:tc>
        <w:tc>
          <w:tcPr>
            <w:tcW w:type="dxa" w:w="1173"/>
            <w:tcMar>
              <w:top w:w="30" w:type="dxa"/>
              <w:left w:w="65" w:type="dxa"/>
              <w:bottom w:w="30" w:type="dxa"/>
              <w:right w:w="65" w:type="dxa"/>
            </w:tcMar>
          </w:tcPr>
          <w:p>
            <w:pPr>
              <w:spacing w:after="0" w:before="0"/>
            </w:pPr>
            <w:r>
              <w:t>4</w:t>
            </w:r>
          </w:p>
        </w:tc>
        <w:tc>
          <w:tcPr>
            <w:tcW w:type="dxa" w:w="1173"/>
            <w:tcMar>
              <w:top w:w="30" w:type="dxa"/>
              <w:left w:w="65" w:type="dxa"/>
              <w:bottom w:w="30" w:type="dxa"/>
              <w:right w:w="65" w:type="dxa"/>
            </w:tcMar>
          </w:tcPr>
          <w:p>
            <w:pPr>
              <w:spacing w:after="0" w:before="0"/>
            </w:pPr>
            <w:r>
              <w:t>recommended</w:t>
            </w:r>
          </w:p>
        </w:tc>
      </w:tr>
      <w:tr>
        <w:trPr>
          <w:cantSplit/>
        </w:trPr>
        <w:tc>
          <w:tcPr>
            <w:tcW w:type="dxa" w:w="1173"/>
            <w:tcMar>
              <w:top w:w="30" w:type="dxa"/>
              <w:left w:w="65" w:type="dxa"/>
              <w:bottom w:w="30" w:type="dxa"/>
              <w:right w:w="65" w:type="dxa"/>
            </w:tcMar>
          </w:tcPr>
          <w:p>
            <w:pPr>
              <w:spacing w:after="0" w:before="0"/>
            </w:pPr>
            <w:r>
              <w:t>3</w:t>
            </w:r>
          </w:p>
        </w:tc>
        <w:tc>
          <w:tcPr>
            <w:tcW w:type="dxa" w:w="1173"/>
            <w:tcMar>
              <w:top w:w="30" w:type="dxa"/>
              <w:left w:w="65" w:type="dxa"/>
              <w:bottom w:w="30" w:type="dxa"/>
              <w:right w:w="65" w:type="dxa"/>
            </w:tcMar>
          </w:tcPr>
          <w:p>
            <w:pPr>
              <w:spacing w:after="0" w:before="0"/>
            </w:pPr>
            <w:r>
              <w:t>mixed</w:t>
            </w:r>
          </w:p>
        </w:tc>
        <w:tc>
          <w:tcPr>
            <w:tcW w:type="dxa" w:w="1173"/>
            <w:tcMar>
              <w:top w:w="30" w:type="dxa"/>
              <w:left w:w="65" w:type="dxa"/>
              <w:bottom w:w="30" w:type="dxa"/>
              <w:right w:w="65" w:type="dxa"/>
            </w:tcMar>
          </w:tcPr>
          <w:p>
            <w:pPr>
              <w:spacing w:after="0" w:before="0"/>
            </w:pPr>
            <w:r>
              <w:t>94%</w:t>
            </w:r>
          </w:p>
        </w:tc>
        <w:tc>
          <w:tcPr>
            <w:tcW w:type="dxa" w:w="1173"/>
            <w:tcMar>
              <w:top w:w="30" w:type="dxa"/>
              <w:left w:w="65" w:type="dxa"/>
              <w:bottom w:w="30" w:type="dxa"/>
              <w:right w:w="65" w:type="dxa"/>
            </w:tcMar>
          </w:tcPr>
          <w:p>
            <w:pPr>
              <w:spacing w:after="0" w:before="0"/>
            </w:pPr>
            <w:r>
              <w:t>95%</w:t>
            </w:r>
          </w:p>
        </w:tc>
        <w:tc>
          <w:tcPr>
            <w:tcW w:type="dxa" w:w="1173"/>
            <w:tcMar>
              <w:top w:w="30" w:type="dxa"/>
              <w:left w:w="65" w:type="dxa"/>
              <w:bottom w:w="30" w:type="dxa"/>
              <w:right w:w="65" w:type="dxa"/>
            </w:tcMar>
          </w:tcPr>
          <w:p>
            <w:pPr>
              <w:spacing w:after="0" w:before="0"/>
            </w:pPr>
            <w:r>
              <w:t>88%</w:t>
            </w:r>
          </w:p>
        </w:tc>
        <w:tc>
          <w:tcPr>
            <w:tcW w:type="dxa" w:w="1173"/>
            <w:tcMar>
              <w:top w:w="30" w:type="dxa"/>
              <w:left w:w="65" w:type="dxa"/>
              <w:bottom w:w="30" w:type="dxa"/>
              <w:right w:w="65" w:type="dxa"/>
            </w:tcMar>
          </w:tcPr>
          <w:p>
            <w:pPr>
              <w:spacing w:after="0" w:before="0"/>
            </w:pPr>
            <w:r>
              <w:t>93%</w:t>
            </w:r>
          </w:p>
        </w:tc>
        <w:tc>
          <w:tcPr>
            <w:tcW w:type="dxa" w:w="1173"/>
            <w:tcMar>
              <w:top w:w="30" w:type="dxa"/>
              <w:left w:w="65" w:type="dxa"/>
              <w:bottom w:w="30" w:type="dxa"/>
              <w:right w:w="65" w:type="dxa"/>
            </w:tcMar>
          </w:tcPr>
          <w:p>
            <w:pPr>
              <w:spacing w:after="0" w:before="0"/>
            </w:pPr>
            <w:r>
              <w:t>2</w:t>
            </w:r>
          </w:p>
        </w:tc>
        <w:tc>
          <w:tcPr>
            <w:tcW w:type="dxa" w:w="1173"/>
            <w:tcMar>
              <w:top w:w="30" w:type="dxa"/>
              <w:left w:w="65" w:type="dxa"/>
              <w:bottom w:w="30" w:type="dxa"/>
              <w:right w:w="65" w:type="dxa"/>
            </w:tcMar>
          </w:tcPr>
          <w:p>
            <w:pPr>
              <w:spacing w:after="0" w:before="0"/>
            </w:pPr>
            <w:r>
              <w:t>2</w:t>
            </w:r>
          </w:p>
        </w:tc>
        <w:tc>
          <w:tcPr>
            <w:tcW w:type="dxa" w:w="1173"/>
            <w:tcMar>
              <w:top w:w="30" w:type="dxa"/>
              <w:left w:w="65" w:type="dxa"/>
              <w:bottom w:w="30" w:type="dxa"/>
              <w:right w:w="65" w:type="dxa"/>
            </w:tcMar>
          </w:tcPr>
          <w:p>
            <w:pPr>
              <w:spacing w:after="0" w:before="0"/>
            </w:pPr>
            <w:r>
              <w:t>recommended</w:t>
            </w:r>
          </w:p>
        </w:tc>
      </w:tr>
    </w:tbl>
    <w:p>
      <w:r>
        <w:t>Page 1: good expected quality, individual locations requiring review. Problem areas: Lot O/0 uncertainty; both 114.3 mg/mL forms selected; handwritten identifiers; stamp overlap; event date in DD/MM/YYYY. Manual review recommended.</w:t>
      </w:r>
    </w:p>
    <w:p>
      <w:r>
        <w:t>Page 2: good expected quality, individual locations requiring review. Problem areas: Pasted schedule occludes delivery labels; before-opening complaint differs from printed upon-opening choice; cold-chain selection conflicts with page 3 follow-up. Manual review recommended.</w:t>
      </w:r>
    </w:p>
    <w:p>
      <w:r>
        <w:t>Page 3: high expected quality, only minor uncertainties. Problem areas: Signature illegible; native values must not be classified as handwriting; split follow-up continuation; SPR and AQ retained; overflowing source sentence reconstructed. Manual review recommended.</w:t>
      </w:r>
    </w:p>
    <w:p>
      <w:pPr>
        <w:pStyle w:val="Heading1"/>
      </w:pPr>
      <w:r>
        <w:t>Analysis, rendering and OCR strategy</w:t>
      </w:r>
    </w:p>
    <w:p>
      <w:r>
        <w:t>The source is a three-page EYLEA replacement form with recurring header identifiers and Bayer logos, section bars, bordered form fields, checkbox lists, delivery-hours insert, a clinician stamp, signature, handwritten values, and machine-entered internal-use/follow-up values on p. 3. No table of contents, diagrams, or source footnotes were identified. Source page numbers 1–3 are retained only in DOCX; recurring headers occur once in Markdown.</w:t>
        <w:br/>
        <w:t>Existing extraction was reused, not repeated. All three pages required raster inspection because scanned forms contain handwriting, stamps, signatures, checkboxes or image text. They were rendered once at 300 DPI. No entire-page rerendering or resolution escalation was performed. Preprocessing assessment found slight scan imperfections but no material skew or contrast/noise issue requiring corrective preprocessing. Previews were recompressed to accommodate the image tool size limit; no new page rendering was involved.</w:t>
        <w:br/>
        <w:t>Previously rendered tightly bounded PDF crops, one attempt each: lot 1000 DPI (126,350,280,377 pt); clinician name 900 DPI (48,462,290,490); email 530 DPI (302,621,556,666); telephone 900 DPI (335,596,496,628); signature 1600 DPI (230,125,325,164); practice name 1400 DPI (52,526,164,549); delivery hours 800 DPI (285,138,497,267). These were direct PDF crop renders, not crops of the 300-DPI page raster. No crop was repeated. The delivery-label suffix is physically covered; further cropping cannot reveal it.</w:t>
        <w:br/>
        <w:t>Visual inspection takes precedence over incomplete OCR. Recovered omissions include the full adverse-event reporting paragraph and website on p. 1, the before/during/after-injection exclusion on p. 2, and the full data-protection paragraph on p. 3. Native text correctly establishes lowercase code o and machine-entered X marks/dates on p. 3. Stamp details were read visually and remain black.</w:t>
      </w:r>
    </w:p>
    <w:p>
      <w:pPr>
        <w:pStyle w:val="Heading1"/>
      </w:pPr>
      <w:r>
        <w:t>Confidence Index and calculation</w:t>
      </w:r>
    </w:p>
    <w:p>
      <w:r>
        <w:t>Overall formula: (A × 0.25) + (B × 0.20) + (C × 0.25) + (D × 0.10) + (E × 0.10) + (F × 0.10).</w:t>
        <w:br/>
        <w:t>A text capture/OCR: 85%; B completeness: 92%; C translation accuracy: 94%; D terminology consistency: 96%; E language quality: 96%; F layout/structure: 82%.</w:t>
        <w:br/>
        <w:t>Weighted result: 21.25 + 18.40 + 23.50 + 9.60 + 9.60 + 8.20 = 90.55%, rounded to 91% before capping. Final Confidence Index: 50%. Quality level: significant uncertainties, comprehensive review required.</w:t>
        <w:br/>
        <w:t>The supplied suggested uncapped total of 90.1% does not reconcile with the specified subscores; the actual arithmetic above is used. The mandatory 50% cap applies because the lot identifier cannot be checked reliably (O versus 0). Covered printed delivery content also prevents full source verification. Fluency does not override these limitations.</w:t>
        <w:br/>
        <w:t>A is reduced for the ambiguous lot and illegible signature/occlusion, despite appropriate rasterization. B is reduced for physically hidden content despite all visible sections being captured. C is high for checked visible medical conditions, warnings and negations but does not resolve source contradictions. D reflects consistent terminology and preserved unresolved acronyms. E reflects professional American English. F reflects readable reconstruction and logical tables rather than pixel-identical reproduction.</w:t>
        <w:br/>
        <w:t>Page formula: OCR × 0.40 + translation × 0.40 + layout × 0.20. Page 1: 85×.40 + 94×.40 + 85×.20 = 88.6 → 89%. Page 2: 87×.40 + 94×.40 + 85×.20 = 89.4 → 89%. Page 3: 94×.40 + 95×.40 + 88×.20 = 93.2 → 93%. Page estimates are local; the document-wide critical-identifier cap is not a page average. This reasoned estimate is not proof of correctness or a substitute for qualified review.</w:t>
      </w:r>
    </w:p>
    <w:p>
      <w:pPr>
        <w:pStyle w:val="Heading1"/>
      </w:pPr>
      <w:r>
        <w:t>Identified risks and source conflicts</w:t>
      </w:r>
    </w:p>
    <w:p>
      <w:r>
        <w:t>1. Lot KTOVVC9 versus KT0VVC9: seven-character lot identification is uncertain; confirm directly on the carton/original. No external identifier verification was available.</w:t>
        <w:br/>
        <w:t>2. Both EYLEA 114.3 mg/mL vial and prefilled syringe are visibly marked. The vial mark may be a correction, but this is not inferred; both remain selected.</w:t>
        <w:br/>
        <w:t>3. Printed option I(o) concerns condensation/water upon opening; handwritten description says before opening. Both are translated as written.</w:t>
        <w:br/>
        <w:t>4. Option II(a), doubts about storage/cold chain, is checked; p. 3 office follow-up says no cold-chain interruption. Do not resolve clinically without review.</w:t>
        <w:br/>
        <w:t>5. Signature is stylized and illegible, not an authenticated name.</w:t>
        <w:br/>
        <w:t>6. Delivery-hours insert physically hides label endings and right-side labels. Visible prefix plus an anchored [ILLEGIBLE] marker is retained; no unseen labels are invented.</w:t>
        <w:br/>
        <w:t>7. Reason for follow-up 1 ends with “and”; “pharmaceutical form” appears in the next reason field while follow-up date 2 is blank. This appears to be continuation, not evidence of a second independent follow-up. Original field split remains.</w:t>
        <w:br/>
        <w:t>8. SPR is not expanded; AQ is not expanded. PSP, RPPS, PV and CNIL are retained. No attached authorized glossary was available.</w:t>
        <w:br/>
        <w:t>9. Dates 08/04/2026 and 21/04/2026 remain DD/MM/YYYY, not American month-first notation. Storage thresholds &gt;24 hours, below +2°C or above +25°C and the 10-year archive term are retained exactly in meaning.</w:t>
        <w:br/>
        <w:t>10. Proper street/location names, identifiers, email addresses and numeric stamp lines remain unchanged. Source duplicated “address of the address” is deliberately preserved.</w:t>
      </w:r>
    </w:p>
    <w:p>
      <w:pPr>
        <w:pStyle w:val="Heading1"/>
      </w:pPr>
      <w:r>
        <w:t>Layout and image handling</w:t>
      </w:r>
    </w:p>
    <w:p>
      <w:r>
        <w:t>The translation uses the source portrait dimensions, explicit source-page breaks, section hierarchy, borders, readable Arial type, repeated source headers and source page numbers. Form fields are reconstructed as label/value tables, occasionally linearized rather than preserving all original four-column geometry; reading order and content assignment take precedence. The stamp is transcribed in black in its own row near the identifying fields rather than allowed to overlap labels. No signature identity is invented; the illegible signature marker remains blue.</w:t>
        <w:br/>
        <w:t>The printed delivery-hours insert is replaced by its English table near the delivery-information area; the original graphic is not retained with untranslated French text. Bayer logo imagery is faithfully cropped from the existing source raster, not regenerated, and included in each DOCX source header. Markdown uses [IMAGE] Bayer logo. The overflowing native follow-up sentence is wrapped within a cell so the final cold-chain phrase is not truncated. English field expansion and linearization may change exact blank-space distribution. The preamble is additional prescribed review material, not a source page. A LibreOffice layout-check conversion verified that the translation has exactly 4 physical pages: one preamble plus three translated source pages. All four page previews were inspected; no visible truncation, shifted table, or unintended spillover page was identified.</w:t>
      </w:r>
    </w:p>
    <w:p>
      <w:pPr>
        <w:pStyle w:val="Heading1"/>
      </w:pPr>
      <w:r>
        <w:t>Deliberately untranslated content</w:t>
      </w:r>
    </w:p>
    <w:p>
      <w:r>
        <w:t>Proper/product/organization names retained: Eylea/EYLEA, Bayer/Bayer HealthCare, BAYER HEALTHCARE SAS, Universal Medica/UNIVERSAL MEDICA, Dr ASSAD-MEILLON Ghislaine, Docteur G. ASSAD MEILLON, OPHTAVALMY, Parc Valmy, 9 RUE JEANNE BARRET / 9 rue Jeanne Barret, DIJON, SAINT CLOUD, La Garenne Colombes, Place de Belgique and bureaux de la colline. Proper address/name spellings and the stamp’s named title are preserved for traceability.</w:t>
        <w:br/>
        <w:t>Product terminology Aflibercept/aflibercept and Luer Lock remains unchanged in spelling. Codes/identifiers unchanged: CRS-FR-2024-000001, PP-EYL-FR-0653-1, CRS-20260421-97-1, KTOVVC9 (uncertain), 21 1 70251 9, RPPS 10100959542, lowercase code o, LOT, EXP. Acronyms PSP, RPPS, SPR, PV, AQ and CNIL remain unexpanded where no reliable source expansion was supplied. Postal codes, telephone/fax numbers, dates, email addresses and URLs are retained. Preserving these is deliberate, not residual untranslated prose.</w:t>
      </w:r>
    </w:p>
    <w:p>
      <w:pPr>
        <w:pStyle w:val="Heading1"/>
      </w:pPr>
      <w:r>
        <w:t>Limitations and privacy</w:t>
      </w:r>
    </w:p>
    <w:p>
      <w:r>
        <w:t>Genuine Word comments were set (level 1) on all handwritten fields/blocks and the obscured printed location. All comments use author AI Translation, initials AI. The preamble quality-report reference is a genuine Word footnote.</w:t>
        <w:br/>
        <w:t>Original scans, not external records, support transcriptions. The lot O/0 ambiguity, covered source text, signature identity, selected-form contradiction and clinical consistency cannot be resolved reliably by this translation. No external authentication, medical eligibility decision, database lot/RPPS check, legal validation or signature verification was performed. Qualified medical/regulatory review and document-owner approval are mandatory before use.</w:t>
        <w:br/>
        <w:t>Exact OpenAI ChatGPT model version is not exposed and was not invented. The actual prompt filename is prompt.en.0.5.md, version 0.5; the ignored embedded filename variable is not substituted for the actual filename.</w:t>
        <w:br/>
        <w:t>Platform attachment deletion, tool cache clearing and a 15-minute retention/deletion guarantee cannot be enforced. Source and intermediate workspace files are retained pending delivery; the main delivery agent/operator should delete accessible source/intermediate files after successful upload and apply any available retention controls. No claim of platform deletion is made. Downloadable results also remain pending delivery; no timer-based deletion has been claimed or scheduled.</w:t>
      </w:r>
    </w:p>
    <w:p>
      <w:pPr>
        <w:pStyle w:val="Heading1"/>
      </w:pPr>
      <w:r>
        <w:t>Locations to be checked manually — all 20 commented locations</w:t>
      </w:r>
    </w:p>
    <w:p>
      <w:pPr>
        <w:pStyle w:val="Heading2"/>
      </w:pPr>
      <w:r>
        <w:t>1. Page 1 — Section 1 / lot number</w:t>
      </w:r>
    </w:p>
    <w:p>
      <w:r>
        <w:t>Source: HANDWRITING; recognition confidence: LOW.</w:t>
        <w:br/>
        <w:t>Source text, as far as legible: KTOVVC9</w:t>
        <w:br/>
        <w:t>English translation: KTOVVC9</w:t>
        <w:br/>
        <w:t>Comment: [UNCLEAR] — Source: handwriting | Recognition confidence: low</w:t>
        <w:br/>
        <w:t>Best reading (original language): "KTOVVC9"</w:t>
        <w:br/>
        <w:t>Alternative readings: "KT0VVC9"</w:t>
        <w:br/>
        <w:t>Reason: the third character cannot be distinguished reliably as letter O or digit 0; cropped region re-rendered at 1000 DPI. Seven characters are visible.</w:t>
        <w:br/>
        <w:t>Recommended check: verify against original p. 1, field "N° de lot EYLEA", and the product carton; do not rely on this transcription for lot tracing.</w:t>
      </w:r>
    </w:p>
    <w:p>
      <w:pPr>
        <w:pStyle w:val="Heading2"/>
      </w:pPr>
      <w:r>
        <w:t>2. Page 1 — Section 1 / product available Yes</w:t>
      </w:r>
    </w:p>
    <w:p>
      <w:r>
        <w:t>Source: HANDWRITING; recognition confidence: HIGH.</w:t>
        <w:br/>
        <w:t>Source text, as far as legible: X</w:t>
        <w:br/>
        <w:t>English translation: X</w:t>
        <w:br/>
        <w:t>Comment: [HANDWRITING] — Confidence: high</w:t>
        <w:br/>
        <w:t>Source text (original language): "X"</w:t>
        <w:br/>
        <w:t>Translation: "X"</w:t>
      </w:r>
    </w:p>
    <w:p>
      <w:r>
        <w:t>Type of uncertainty: reliably recognized handwriting, with routine/clinical verification required. Recommended check: Compare this handwritten field/block against the original; confirm clinically relevant values with the document owner.</w:t>
      </w:r>
    </w:p>
    <w:p>
      <w:pPr>
        <w:pStyle w:val="Heading2"/>
      </w:pPr>
      <w:r>
        <w:t>3. Page 1 — Section 1 / 114.3 mg/mL vial</w:t>
      </w:r>
    </w:p>
    <w:p>
      <w:r>
        <w:t>Source: HANDWRITING; recognition confidence: HIGH.</w:t>
        <w:br/>
        <w:t>Source text, as far as legible: X</w:t>
        <w:br/>
        <w:t>English translation: X</w:t>
        <w:br/>
        <w:t>Comment: [HANDWRITING] — Confidence: high</w:t>
        <w:br/>
        <w:t>Source text (original language): "X"</w:t>
        <w:br/>
        <w:t>Translation: "X"</w:t>
      </w:r>
    </w:p>
    <w:p>
      <w:r>
        <w:t>Type of uncertainty: reliably recognized handwriting, with routine/clinical verification required. Recommended check: Verify marked selection against the source; confirm the intended pharmaceutical form.</w:t>
      </w:r>
    </w:p>
    <w:p>
      <w:pPr>
        <w:pStyle w:val="Heading2"/>
      </w:pPr>
      <w:r>
        <w:t>4. Page 1 — Section 1 / 114.3 mg/mL prefilled syringe</w:t>
      </w:r>
    </w:p>
    <w:p>
      <w:r>
        <w:t>Source: HANDWRITING; recognition confidence: HIGH.</w:t>
        <w:br/>
        <w:t>Source text, as far as legible: X</w:t>
        <w:br/>
        <w:t>English translation: X</w:t>
        <w:br/>
        <w:t>Comment: [HANDWRITING] — Confidence: high</w:t>
        <w:br/>
        <w:t>Source text (original language): "X"</w:t>
        <w:br/>
        <w:t>Translation: "X"</w:t>
      </w:r>
    </w:p>
    <w:p>
      <w:r>
        <w:t>Type of uncertainty: reliably recognized handwriting, with routine/clinical verification required. Recommended check: Verify marked selection against the source; confirm the intended pharmaceutical form.</w:t>
      </w:r>
    </w:p>
    <w:p>
      <w:pPr>
        <w:pStyle w:val="Heading2"/>
      </w:pPr>
      <w:r>
        <w:t>5. Page 1 — Section 1 / event date</w:t>
      </w:r>
    </w:p>
    <w:p>
      <w:r>
        <w:t>Source: HANDWRITING; recognition confidence: HIGH.</w:t>
        <w:br/>
        <w:t>Source text, as far as legible: 08/04/2026</w:t>
        <w:br/>
        <w:t>English translation: 08/04/2026</w:t>
        <w:br/>
        <w:t>Comment: [HANDWRITING] — Confidence: high</w:t>
        <w:br/>
        <w:t>Source text (original language): "08/04/2026"</w:t>
        <w:br/>
        <w:t>Translation: "08/04/2026"</w:t>
      </w:r>
    </w:p>
    <w:p>
      <w:r>
        <w:t>Type of uncertainty: reliably recognized handwriting, with routine/clinical verification required. Recommended check: Confirm the original date; notation is DD/MM/YYYY (April 8 or April 21, 2026, respectively).</w:t>
      </w:r>
    </w:p>
    <w:p>
      <w:pPr>
        <w:pStyle w:val="Heading2"/>
      </w:pPr>
      <w:r>
        <w:t>6. Page 1 — Section 1 / clinician name</w:t>
      </w:r>
    </w:p>
    <w:p>
      <w:r>
        <w:t>Source: HANDWRITING; recognition confidence: HIGH.</w:t>
        <w:br/>
        <w:t>Source text, as far as legible: Dr ASSAD-MEILLON Ghislaine</w:t>
        <w:br/>
        <w:t>English translation: Dr ASSAD-MEILLON Ghislaine</w:t>
        <w:br/>
        <w:t>Comment: [HANDWRITING] — Confidence: high</w:t>
        <w:br/>
        <w:t>Source text (original language): "Dr ASSAD-MEILLON Ghislaine"</w:t>
        <w:br/>
        <w:t>Translation: "Dr ASSAD-MEILLON Ghislaine"</w:t>
      </w:r>
    </w:p>
    <w:p>
      <w:r>
        <w:t>Type of uncertainty: reliably recognized handwriting, with routine/clinical verification required. Recommended check: Compare this handwritten field/block against the original; confirm clinically relevant values with the document owner.</w:t>
      </w:r>
    </w:p>
    <w:p>
      <w:pPr>
        <w:pStyle w:val="Heading2"/>
      </w:pPr>
      <w:r>
        <w:t>7. Page 1 — Section 1 / specialty</w:t>
      </w:r>
    </w:p>
    <w:p>
      <w:r>
        <w:t>Source: HANDWRITING; recognition confidence: HIGH.</w:t>
        <w:br/>
        <w:t>Source text, as far as legible: X</w:t>
        <w:br/>
        <w:t>English translation: X</w:t>
        <w:br/>
        <w:t>Comment: [HANDWRITING] — Confidence: high</w:t>
        <w:br/>
        <w:t>Source text (original language): "X"</w:t>
        <w:br/>
        <w:t>Translation: "X"</w:t>
      </w:r>
    </w:p>
    <w:p>
      <w:r>
        <w:t>Type of uncertainty: reliably recognized handwriting, with routine/clinical verification required. Recommended check: Compare this handwritten field/block against the original; confirm clinically relevant values with the document owner.</w:t>
      </w:r>
    </w:p>
    <w:p>
      <w:pPr>
        <w:pStyle w:val="Heading2"/>
      </w:pPr>
      <w:r>
        <w:t>8. Page 1 — Section 1 / practice</w:t>
      </w:r>
    </w:p>
    <w:p>
      <w:r>
        <w:t>Source: HANDWRITING; recognition confidence: HIGH.</w:t>
        <w:br/>
        <w:t>Source text, as far as legible: OPHTAVALMY</w:t>
        <w:br/>
        <w:t>English translation: OPHTAVALMY</w:t>
        <w:br/>
        <w:t>Comment: [HANDWRITING] — Confidence: high</w:t>
        <w:br/>
        <w:t>Source text (original language): "OPHTAVALMY"</w:t>
        <w:br/>
        <w:t>Translation: "OPHTAVALMY"</w:t>
      </w:r>
    </w:p>
    <w:p>
      <w:r>
        <w:t>Type of uncertainty: reliably recognized handwriting, with routine/clinical verification required. Recommended check: Compare this handwritten field/block against the original; confirm clinically relevant values with the document owner.</w:t>
      </w:r>
    </w:p>
    <w:p>
      <w:pPr>
        <w:pStyle w:val="Heading2"/>
      </w:pPr>
      <w:r>
        <w:t>9. Page 1 — Section 1 / street</w:t>
      </w:r>
    </w:p>
    <w:p>
      <w:r>
        <w:t>Source: HANDWRITING; recognition confidence: HIGH.</w:t>
        <w:br/>
        <w:t>Source text, as far as legible: 9 RUE JEANNE BARRET</w:t>
        <w:br/>
        <w:t>English translation: 9 RUE JEANNE BARRET</w:t>
        <w:br/>
        <w:t>Comment: [HANDWRITING] — Confidence: high</w:t>
        <w:br/>
        <w:t>Source text (original language): "9 RUE JEANNE BARRET"</w:t>
        <w:br/>
        <w:t>Translation: "9 RUE JEANNE BARRET"</w:t>
      </w:r>
    </w:p>
    <w:p>
      <w:r>
        <w:t>Type of uncertainty: reliably recognized handwriting, with routine/clinical verification required. Recommended check: Compare this handwritten field/block against the original; confirm clinically relevant values with the document owner.</w:t>
      </w:r>
    </w:p>
    <w:p>
      <w:pPr>
        <w:pStyle w:val="Heading2"/>
      </w:pPr>
      <w:r>
        <w:t>10. Page 1 — Section 1 / city</w:t>
      </w:r>
    </w:p>
    <w:p>
      <w:r>
        <w:t>Source: HANDWRITING; recognition confidence: HIGH.</w:t>
        <w:br/>
        <w:t>Source text, as far as legible: DIJON</w:t>
        <w:br/>
        <w:t>English translation: DIJON</w:t>
        <w:br/>
        <w:t>Comment: [HANDWRITING] — Confidence: high</w:t>
        <w:br/>
        <w:t>Source text (original language): "DIJON"</w:t>
        <w:br/>
        <w:t>Translation: "DIJON"</w:t>
      </w:r>
    </w:p>
    <w:p>
      <w:r>
        <w:t>Type of uncertainty: reliably recognized handwriting, with routine/clinical verification required. Recommended check: Compare this handwritten field/block against the original; confirm clinically relevant values with the document owner.</w:t>
      </w:r>
    </w:p>
    <w:p>
      <w:pPr>
        <w:pStyle w:val="Heading2"/>
      </w:pPr>
      <w:r>
        <w:t>11. Page 1 — Section 1 / postal code</w:t>
      </w:r>
    </w:p>
    <w:p>
      <w:r>
        <w:t>Source: HANDWRITING; recognition confidence: HIGH.</w:t>
        <w:br/>
        <w:t>Source text, as far as legible: 21000</w:t>
        <w:br/>
        <w:t>English translation: 21000</w:t>
        <w:br/>
        <w:t>Comment: [HANDWRITING] — Confidence: high</w:t>
        <w:br/>
        <w:t>Source text (original language): "21000"</w:t>
        <w:br/>
        <w:t>Translation: "21000"</w:t>
      </w:r>
    </w:p>
    <w:p>
      <w:r>
        <w:t>Type of uncertainty: reliably recognized handwriting, with routine/clinical verification required. Recommended check: Compare this handwritten field/block against the original; confirm clinically relevant values with the document owner.</w:t>
      </w:r>
    </w:p>
    <w:p>
      <w:pPr>
        <w:pStyle w:val="Heading2"/>
      </w:pPr>
      <w:r>
        <w:t>12. Page 1 — Section 1 / telephone</w:t>
      </w:r>
    </w:p>
    <w:p>
      <w:r>
        <w:t>Source: HANDWRITING; recognition confidence: HIGH.</w:t>
        <w:br/>
        <w:t>Source text, as far as legible: 03 80 23 74 34</w:t>
        <w:br/>
        <w:t>English translation: 03 80 23 74 34</w:t>
        <w:br/>
        <w:t>Comment: [HANDWRITING] — Confidence: high</w:t>
        <w:br/>
        <w:t>Source text (original language): "03 80 23 74 34"</w:t>
        <w:br/>
        <w:t>Translation: "03 80 23 74 34"</w:t>
      </w:r>
    </w:p>
    <w:p>
      <w:r>
        <w:t>Type of uncertainty: reliably recognized handwriting, with routine/clinical verification required. Recommended check: Compare this handwritten field/block against the original; confirm clinically relevant values with the document owner.</w:t>
      </w:r>
    </w:p>
    <w:p>
      <w:pPr>
        <w:pStyle w:val="Heading2"/>
      </w:pPr>
      <w:r>
        <w:t>13. Page 1 — Section 1 / email</w:t>
      </w:r>
    </w:p>
    <w:p>
      <w:r>
        <w:t>Source: HANDWRITING; recognition confidence: HIGH.</w:t>
        <w:br/>
        <w:t>Source text, as far as legible: contact@ophtavalmy.com</w:t>
        <w:br/>
        <w:t>English translation: contact@ophtavalmy.com</w:t>
        <w:br/>
        <w:t>Comment: [HANDWRITING] — Confidence: high</w:t>
        <w:br/>
        <w:t>Source text (original language): "contact@ophtavalmy.com"</w:t>
        <w:br/>
        <w:t>Translation: "contact@ophtavalmy.com"</w:t>
      </w:r>
    </w:p>
    <w:p>
      <w:r>
        <w:t>Type of uncertainty: reliably recognized handwriting, with routine/clinical verification required. Recommended check: Compare this handwritten field/block against the original; confirm clinically relevant values with the document owner.</w:t>
      </w:r>
    </w:p>
    <w:p>
      <w:pPr>
        <w:pStyle w:val="Heading2"/>
      </w:pPr>
      <w:r>
        <w:t>14. Page 1 — Delivery address / identical Yes</w:t>
      </w:r>
    </w:p>
    <w:p>
      <w:r>
        <w:t>Source: HANDWRITING; recognition confidence: HIGH.</w:t>
        <w:br/>
        <w:t>Source text, as far as legible: X</w:t>
        <w:br/>
        <w:t>English translation: X</w:t>
        <w:br/>
        <w:t>Comment: [HANDWRITING] — Confidence: high</w:t>
        <w:br/>
        <w:t>Source text (original language): "X"</w:t>
        <w:br/>
        <w:t>Translation: "X"</w:t>
      </w:r>
    </w:p>
    <w:p>
      <w:r>
        <w:t>Type of uncertainty: reliably recognized handwriting, with routine/clinical verification required. Recommended check: Compare this handwritten field/block against the original; confirm clinically relevant values with the document owner.</w:t>
      </w:r>
    </w:p>
    <w:p>
      <w:pPr>
        <w:pStyle w:val="Heading2"/>
      </w:pPr>
      <w:r>
        <w:t>15. Page 2 — Delivery / obscured label and right-hand labels</w:t>
      </w:r>
    </w:p>
    <w:p>
      <w:r>
        <w:t>Source: OCR_PRINT; recognition confidence: LOW.</w:t>
        <w:br/>
        <w:t xml:space="preserve">Source text, as far as legible: </w:t>
        <w:br/>
        <w:t>English translation: [ILLEGIBLE]</w:t>
        <w:br/>
        <w:t>Comment: [ILLEGIBLE] — Source: OCR print</w:t>
        <w:br/>
        <w:t>Reason: a pasted printed delivery-hours schedule physically covers the end of the label and other right-side labels. Only "Informations importantes pour la livraison (ex : horaires de" is visible. A crop cannot reveal physically occluded source content; no additional crop of the hidden label was attempted.</w:t>
        <w:br/>
        <w:t>Recommended check: verify against original p. 2, delivery-information area, or an unobscured blank source form.</w:t>
      </w:r>
    </w:p>
    <w:p>
      <w:pPr>
        <w:pStyle w:val="Heading2"/>
      </w:pPr>
      <w:r>
        <w:t>16. Page 2 — Section 2 / category I / option o</w:t>
      </w:r>
    </w:p>
    <w:p>
      <w:r>
        <w:t>Source: HANDWRITING; recognition confidence: HIGH.</w:t>
        <w:br/>
        <w:t>Source text, as far as legible: X</w:t>
        <w:br/>
        <w:t>English translation: X</w:t>
        <w:br/>
        <w:t>Comment: [HANDWRITING] — Confidence: high</w:t>
        <w:br/>
        <w:t>Source text (original language): "X"</w:t>
        <w:br/>
        <w:t>Translation: "X"</w:t>
      </w:r>
    </w:p>
    <w:p>
      <w:r>
        <w:t>Type of uncertainty: reliably recognized handwriting, with routine/clinical verification required. Recommended check: Confirm whether water was noticed before opening or upon opening; both source statements were preserved.</w:t>
      </w:r>
    </w:p>
    <w:p>
      <w:pPr>
        <w:pStyle w:val="Heading2"/>
      </w:pPr>
      <w:r>
        <w:t>17. Page 2 — Section 2 / complaint description</w:t>
      </w:r>
    </w:p>
    <w:p>
      <w:r>
        <w:t>Source: HANDWRITING; recognition confidence: HIGH.</w:t>
        <w:br/>
        <w:t>Source text, as far as legible: Condensation / eau dans l’emballage avant ouverture</w:t>
        <w:br/>
        <w:t>English translation: Condensation / water in the packaging before opening.</w:t>
        <w:br/>
        <w:t>Comment: [HANDWRITING] — Confidence: high</w:t>
        <w:br/>
        <w:t>Source text (original language): "Condensation / eau dans l’emballage avant ouverture"</w:t>
        <w:br/>
        <w:t>Translation: "Condensation / water in the packaging before opening."</w:t>
      </w:r>
    </w:p>
    <w:p>
      <w:r>
        <w:t>Type of uncertainty: reliably recognized handwriting, with routine/clinical verification required. Recommended check: Confirm whether water was noticed before opening or upon opening; both source statements were preserved.</w:t>
      </w:r>
    </w:p>
    <w:p>
      <w:pPr>
        <w:pStyle w:val="Heading2"/>
      </w:pPr>
      <w:r>
        <w:t>18. Page 2 — Section 2 / category II / option a</w:t>
      </w:r>
    </w:p>
    <w:p>
      <w:r>
        <w:t>Source: HANDWRITING; recognition confidence: HIGH.</w:t>
        <w:br/>
        <w:t>Source text, as far as legible: X</w:t>
        <w:br/>
        <w:t>English translation: X</w:t>
        <w:br/>
        <w:t>Comment: [HANDWRITING] — Confidence: high</w:t>
        <w:br/>
        <w:t>Source text (original language): "X"</w:t>
        <w:br/>
        <w:t>Translation: "X"</w:t>
      </w:r>
    </w:p>
    <w:p>
      <w:r>
        <w:t>Type of uncertainty: reliably recognized handwriting, with routine/clinical verification required. Recommended check: Confirm the selected storage concern against the p. 3 statement that no cold-chain interruption occurred.</w:t>
      </w:r>
    </w:p>
    <w:p>
      <w:pPr>
        <w:pStyle w:val="Heading2"/>
      </w:pPr>
      <w:r>
        <w:t>19. Page 3 — Section 3 / mandatory signature</w:t>
      </w:r>
    </w:p>
    <w:p>
      <w:r>
        <w:t>Source: SIGNATURE; recognition confidence: LOW.</w:t>
        <w:br/>
        <w:t>Source text, as far as legible: [stylized signature; no readable name]</w:t>
        <w:br/>
        <w:t>English translation: [ILLEGIBLE]</w:t>
        <w:br/>
        <w:t>Comment: [SIGNATURE] — [ILLEGIBLE] — Source: signature</w:t>
        <w:br/>
        <w:t>Reason: stylized signature strokes contain no decipherable name; cropped region re-rendered at 1600 DPI, with no meaningful textual reading possible.</w:t>
        <w:br/>
        <w:t>Recommended check: verify against original p. 3, mandatory signature block; confirm identity and authorization separately. The signature is not authenticated.</w:t>
      </w:r>
    </w:p>
    <w:p>
      <w:pPr>
        <w:pStyle w:val="Heading2"/>
      </w:pPr>
      <w:r>
        <w:t>20. Page 3 — Section 3 / signature date</w:t>
      </w:r>
    </w:p>
    <w:p>
      <w:r>
        <w:t>Source: HANDWRITING; recognition confidence: HIGH.</w:t>
        <w:br/>
        <w:t>Source text, as far as legible: 21/04/2026</w:t>
        <w:br/>
        <w:t>English translation: 21/04/2026</w:t>
        <w:br/>
        <w:t>Comment: [HANDWRITING] — Confidence: high</w:t>
        <w:br/>
        <w:t>Source text (original language): "21/04/2026"</w:t>
        <w:br/>
        <w:t>Translation: "21/04/2026"</w:t>
      </w:r>
    </w:p>
    <w:p>
      <w:r>
        <w:t>Type of uncertainty: reliably recognized handwriting, with routine/clinical verification required. Recommended check: Confirm the original date; notation is DD/MM/YYYY (April 8 or April 21, 2026, respectively).</w:t>
      </w:r>
    </w:p>
    <w:p>
      <w:pPr>
        <w:pStyle w:val="Heading1"/>
      </w:pPr>
      <w:r>
        <w:t>Additional un-commented review areas</w:t>
      </w:r>
    </w:p>
    <w:p>
      <w:r>
        <w:t>Page 1 / stamp (STAMP, high): Docteur G. ASSAD MEILLON; 21 1 70251 9 / RPPS 10100959542. Confirm numeric identifiers, stamp spelling and overlap; no blue color or handwriting comment applies. Page 2 / delivery-hours insert (IMAGE_TEXT, high): verify the five daily morning/afternoon intervals. Page 2 / option m (OCR_PRINT): no clearly visible checkbox; no checkbox is invented. Page 3 / native code and internal selections (NATIVE, high): confirm lowercase o and approved/AQ/return-letter/follow-up checks. Page 3 / follow-up reason fields (NATIVE): continuation is preserved across field 1 and field 2. Page 3 / addition (NATIVE): SPR is unexpanded; confirm meaning and clinical consistency. Page 3 / AQ and PV labels (OCR_PRINT): retained abbreviations, with no ungrounded expansion.</w:t>
      </w:r>
    </w:p>
    <w:p>
      <w:pPr>
        <w:pStyle w:val="Heading1"/>
      </w:pPr>
      <w:r>
        <w:t>Consistency reconciliation and verification</w:t>
      </w:r>
    </w:p>
    <w:p>
      <w:r>
        <w:t>Source page count 3 = processed source pages 3 = page-report rows 3. Required raster pages 3 = previously rendered pages 3 at 300 DPI. The preamble trust table has exactly 3 page rows plus 1 total row. Its values are 89%, 89%, 93%, and total 50%, matching this report.</w:t>
        <w:br/>
        <w:t>Handwriting/signature segments: 14 + 3 + 2 = 19. Word comments: 14 + 4 + 2 = 20. There are 19 blue source segments and exactly 19 [HW] wrappers in Markdown. One uncertain lot field, one covered printed region, and one illegible signature each have a comment and a manual-review entry. Printed, native, image-text and stamp segments are not blue. Every handwritten value or X receives exactly one narrowly anchored comment; printed checkbox brackets and labels remain black.</w:t>
        <w:br/>
        <w:t>DOCX and Markdown are generated from the same classified content blocks. Their headings, translated paragraphs, tables, values, numbers, dates and identifiers reconcile; source page numbers, recurring headers, and the preamble are omitted from Markdown as required. The Markdown YAML metadata is not a preamble. Its inline uncertainty and stamp/image markers are intentional format mappings.</w:t>
        <w:br/>
        <w:t>The back-comparison covered every visible section in source order, including recovered OCR omissions, complete conditions/negations, field blanks, source duplication and native overflow. Physical occlusion and source ambiguity remain disclosed, not silently filled. Corrections were limited to identified locations. The term counts in CSV are computed from retained source fragments and include the recurring header three times for source occurrence counting. Counted locations are explicit, not estimated.</w:t>
      </w:r>
    </w:p>
    <w:sectPr w:rsidR="00FC693F" w:rsidRPr="0006063C" w:rsidSect="00034616">
      <w:pgSz w:w="11920" w:h="16840"/>
      <w:pgMar w:top="680" w:right="680" w:bottom="680"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001 — AI Translation Quality Report</dc:title>
  <dc:subject/>
  <dc:creator>AI Translation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