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Translation Quality Report</w:t>
      </w:r>
    </w:p>
    <w:p>
      <w:pPr>
        <w:pStyle w:val="Heading1"/>
      </w:pPr>
      <w:r>
        <w:t>General information</w:t>
      </w:r>
    </w:p>
    <w:p>
      <w:r>
        <w:rPr>
          <w:b/>
        </w:rPr>
        <w:t xml:space="preserve">Name of the processed file: </w:t>
      </w:r>
      <w:r>
        <w:t>001.pdf</w:t>
      </w:r>
    </w:p>
    <w:p>
      <w:r>
        <w:rPr>
          <w:b/>
        </w:rPr>
        <w:t xml:space="preserve">Generated files: </w:t>
      </w:r>
      <w:r>
        <w:t>001_Translated by AI.docx; 001_Translated by AI.md; 001_AI Translation Quality Report.docx; 001_AI Translation Used Terminology.csv</w:t>
      </w:r>
    </w:p>
    <w:p>
      <w:r>
        <w:rPr>
          <w:b/>
        </w:rPr>
        <w:t xml:space="preserve">LLM used: </w:t>
      </w:r>
      <w:r>
        <w:t>Claude (Anthropic)</w:t>
      </w:r>
    </w:p>
    <w:p>
      <w:r>
        <w:rPr>
          <w:b/>
        </w:rPr>
        <w:t xml:space="preserve">Prompt file used: </w:t>
      </w:r>
      <w:r>
        <w:t>translate_file_into_en.md</w:t>
      </w:r>
    </w:p>
    <w:p>
      <w:r>
        <w:rPr>
          <w:b/>
        </w:rPr>
        <w:t xml:space="preserve">Prompt file version: </w:t>
      </w:r>
      <w:r>
        <w:t>0.4</w:t>
      </w:r>
    </w:p>
    <w:p>
      <w:pPr>
        <w:pStyle w:val="Heading1"/>
      </w:pPr>
      <w:r>
        <w:t>Overall result</w:t>
      </w:r>
    </w:p>
    <w:p>
      <w:r>
        <w:rPr>
          <w:b/>
        </w:rPr>
        <w:t xml:space="preserve">Output format generated: </w:t>
      </w:r>
      <w:r>
        <w:t>DOCX (with Markdown version and CSV terminology list)</w:t>
      </w:r>
    </w:p>
    <w:p>
      <w:r>
        <w:rPr>
          <w:b/>
        </w:rPr>
        <w:t xml:space="preserve">Number of pages processed: </w:t>
      </w:r>
      <w:r>
        <w:t>3</w:t>
      </w:r>
    </w:p>
    <w:p>
      <w:r>
        <w:rPr>
          <w:b/>
        </w:rPr>
        <w:t xml:space="preserve">Number of pages processed completely: </w:t>
      </w:r>
      <w:r>
        <w:t>3</w:t>
      </w:r>
    </w:p>
    <w:p>
      <w:r>
        <w:rPr>
          <w:b/>
        </w:rPr>
        <w:t xml:space="preserve">Number of problematic pages: </w:t>
      </w:r>
      <w:r>
        <w:t>0 (all pages legible; medium-confidence handwriting flagged for review)</w:t>
      </w:r>
    </w:p>
    <w:p>
      <w:r>
        <w:rPr>
          <w:b/>
        </w:rPr>
        <w:t xml:space="preserve">Total number of handwritten segments (HANDWRITING or SIGNATURE): </w:t>
      </w:r>
      <w:r>
        <w:t>19</w:t>
      </w:r>
    </w:p>
    <w:p>
      <w:r>
        <w:rPr>
          <w:b/>
        </w:rPr>
        <w:t xml:space="preserve">Total number of comments set: </w:t>
      </w:r>
      <w:r>
        <w:t>19</w:t>
      </w:r>
    </w:p>
    <w:p>
      <w:r>
        <w:rPr>
          <w:b/>
        </w:rPr>
        <w:t xml:space="preserve">Presentation level of the fallback cascade used: </w:t>
      </w:r>
      <w:r>
        <w:t>Level 1 - Word comments</w:t>
      </w:r>
    </w:p>
    <w:p>
      <w:r>
        <w:rPr>
          <w:b/>
        </w:rPr>
        <w:t xml:space="preserve">Language variant used: </w:t>
      </w:r>
      <w:r>
        <w:t>American English</w:t>
      </w:r>
    </w:p>
    <w:p>
      <w:pPr>
        <w:pStyle w:val="Heading1"/>
      </w:pPr>
      <w:r>
        <w:t>Confidence Index</w:t>
      </w:r>
    </w:p>
    <w:p>
      <w:r>
        <w:t>Per-page formula: Page confidence = (OCR confidence x 0.40) + (translation confidence x 0.40) + (layout confidence x 0.20).</w:t>
      </w:r>
    </w:p>
    <w:p>
      <w:r>
        <w:t>Overall formula: Confidence Index = (A x 0.25) + (B x 0.20) + (C x 0.25) + (D x 0.10) + (E x 0.10) + (F x 0.10).</w:t>
      </w:r>
    </w:p>
    <w:p>
      <w:r>
        <w:rPr>
          <w:b/>
        </w:rPr>
        <w:t xml:space="preserve">Overall value: </w:t>
      </w:r>
      <w:r>
        <w:t>90 %</w:t>
      </w:r>
    </w:p>
    <w:p>
      <w:r>
        <w:rPr>
          <w:b/>
        </w:rPr>
        <w:t xml:space="preserve">Quality level: </w:t>
      </w:r>
      <w:r>
        <w:t>high expected quality, only minor uncertainties</w:t>
      </w:r>
    </w:p>
    <w:p>
      <w:r>
        <w:t>Brief justification: The source is a clean 300+ DPI scan; all printed text is highly legible and all three pages were processed. Handwritten entries (lot number, names, email, free-text complaint) are largely legible but a few are hand-printed/cursive and carry medium confidence, which caps the overall value below the 95 % threshold. No complete pages are missing, and the translation was back-compared against the source.</w:t>
      </w:r>
    </w:p>
    <w:p>
      <w:pPr>
        <w:pStyle w:val="Heading1"/>
      </w:pPr>
      <w:r>
        <w:t>Sub-scores</w:t>
      </w:r>
    </w:p>
    <w:p>
      <w:r>
        <w:rPr>
          <w:b/>
        </w:rPr>
        <w:t xml:space="preserve">A. Text capture and OCR: </w:t>
      </w:r>
      <w:r>
        <w:t>90 %</w:t>
      </w:r>
    </w:p>
    <w:p>
      <w:r>
        <w:rPr>
          <w:b/>
        </w:rPr>
        <w:t xml:space="preserve">B. Completeness: </w:t>
      </w:r>
      <w:r>
        <w:t>95 %</w:t>
      </w:r>
    </w:p>
    <w:p>
      <w:r>
        <w:rPr>
          <w:b/>
        </w:rPr>
        <w:t xml:space="preserve">C. Translation accuracy: </w:t>
      </w:r>
      <w:r>
        <w:t>92 %</w:t>
      </w:r>
    </w:p>
    <w:p>
      <w:r>
        <w:rPr>
          <w:b/>
        </w:rPr>
        <w:t xml:space="preserve">D. Terminological consistency: </w:t>
      </w:r>
      <w:r>
        <w:t>90 %</w:t>
      </w:r>
    </w:p>
    <w:p>
      <w:r>
        <w:rPr>
          <w:b/>
        </w:rPr>
        <w:t xml:space="preserve">E. Language quality: </w:t>
      </w:r>
      <w:r>
        <w:t>92 %</w:t>
      </w:r>
    </w:p>
    <w:p>
      <w:r>
        <w:rPr>
          <w:b/>
        </w:rPr>
        <w:t xml:space="preserve">F. Layout and structural fidelity: </w:t>
      </w:r>
      <w:r>
        <w:t>82 %</w:t>
      </w:r>
    </w:p>
    <w:p>
      <w:pPr>
        <w:pStyle w:val="Heading1"/>
      </w:pPr>
      <w:r>
        <w:t>Page-related quality assessment (Phase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6"/>
              </w:rPr>
              <w:t>Page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OCR %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Transl. %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Layout %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Page conf. %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HW segs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Comments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Manual review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mixed (scan + stamp)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recommended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scanned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recommended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mixed (native + handwriting)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recommended</w:t>
            </w:r>
          </w:p>
        </w:tc>
      </w:tr>
    </w:tbl>
    <w:p>
      <w:r>
        <w:t>Note: Manual review is recommended for every page because each contains handwritten content; this follows the Phase 9 rule (pages with handwriting always flagged).</w:t>
      </w:r>
    </w:p>
    <w:p>
      <w:r>
        <w:t>Problem areas by page: p.1 - hand-printed lot number 'KTOVVC9' (O/0 and V ambiguity), handwritten practice name and email; p.2 - cursive free-text complaint description; p.3 - handwritten signature (illegible as text) and date.</w:t>
      </w:r>
    </w:p>
    <w:p>
      <w:pPr>
        <w:pStyle w:val="Heading1"/>
      </w:pPr>
      <w:r>
        <w:t>Identified risks</w:t>
      </w:r>
    </w:p>
    <w:p>
      <w:pPr>
        <w:pStyle w:val="ListBullet"/>
      </w:pPr>
      <w:r>
        <w:t>Illegible locations: none fully illegible; the signature on page 3 has no legible text content (expected for a signature).</w:t>
      </w:r>
    </w:p>
    <w:p>
      <w:pPr>
        <w:pStyle w:val="ListBullet"/>
      </w:pPr>
      <w:r>
        <w:t>Uncertain OCR recognitions: handwritten lot number 'KTOVVC9' (hand-printed capitals; O/0 and V ambiguity), practice name 'OPHTAVALMY', email 'contact@ophtavalmy.com', free-text complaint.</w:t>
      </w:r>
    </w:p>
    <w:p>
      <w:pPr>
        <w:pStyle w:val="ListBullet"/>
      </w:pPr>
      <w:r>
        <w:t>Ambiguous technical terms: 'SPR' in the internal-use free text (likely the pre-filled syringe, 'seringue pre-remplie'); retained as the abbreviation.</w:t>
      </w:r>
    </w:p>
    <w:p>
      <w:pPr>
        <w:pStyle w:val="ListBullet"/>
      </w:pPr>
      <w:r>
        <w:t>Abbreviations that cannot be resolved: 'SPR' (see above); 'PV' (Pharmacovigilance) and 'AQ' (Assurance Qualite / Quality Assurance) in the internal-use block retained.</w:t>
      </w:r>
    </w:p>
    <w:p>
      <w:pPr>
        <w:pStyle w:val="ListBullet"/>
      </w:pPr>
      <w:r>
        <w:t>Difficult tables: internal-use multi-field block reconstructed as a two-column field/value table.</w:t>
      </w:r>
    </w:p>
    <w:p>
      <w:pPr>
        <w:pStyle w:val="ListBullet"/>
      </w:pPr>
      <w:r>
        <w:t>Text in images that cannot be replaced: Bayer logo [IMAGE]; physician stamp rendered as [STAMP]/text.</w:t>
      </w:r>
    </w:p>
    <w:p>
      <w:pPr>
        <w:pStyle w:val="ListBullet"/>
      </w:pPr>
      <w:r>
        <w:t>Layout deviations: the original two-column form layout was linearized into labeled field/value tables to preserve content assignment and reading order.</w:t>
      </w:r>
    </w:p>
    <w:p>
      <w:pPr>
        <w:pStyle w:val="Heading1"/>
      </w:pPr>
      <w:r>
        <w:t>Locations to be checked manually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6"/>
              </w:rPr>
              <w:t>Page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Position/section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Source text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English translation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Type of uncertainty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Recommended check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Section 1, lot no.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handwriting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KTOVVC9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KTOVVC9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hand-printed; O/0 and V ambiguity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verify against box label on original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Section 1, HCP name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handwriting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Dr ASSAD-MEILLON Ghislaine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Dr ASSAD-MEILLON Ghislaine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cursive first name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verify spelling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Section 1, practice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handwriting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OPHTAVALMY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OPHTAVALMY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block capitals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verify practice name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Section 1, email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handwriting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contact@ophtavalmy.com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contact@ophtavalmy.com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cursive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verify email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Section 2, description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handwriting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Condensation / eau dans l'emballage avant ouverture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Condensation / water in the packaging before opening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cursive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verify free text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Section 3, signature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signature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(handwritten signature)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[signature]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no legible text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confirm signatory identity</w:t>
            </w:r>
          </w:p>
        </w:tc>
      </w:tr>
    </w:tbl>
    <w:p>
      <w:pPr>
        <w:pStyle w:val="Heading1"/>
      </w:pPr>
      <w:r>
        <w:t>Untranslated content</w:t>
      </w:r>
    </w:p>
    <w:p>
      <w:r>
        <w:t>Proper names, product names, addresses, document numbers and identifiers were retained unchanged per the prompt: EYLEA, Aflibercept, Bayer, Universal Medica, OPHTAVALMY, personal and street names, email/fax/phone, CRS-FR-2024-000001, PP-EYL-FR-0653-1, CRS-20260421-97-1, RPPS 10100959542, lot 'KTOVVC9', and the abbreviations SPR/PV/AQ/CNIL/RPPS. The term 'Conventionne Secteur II' inside the physician stamp was retained as a French administrative designation.</w:t>
      </w:r>
    </w:p>
    <w:p>
      <w:pPr>
        <w:pStyle w:val="Heading1"/>
      </w:pPr>
      <w:r>
        <w:t>Limitations</w:t>
      </w:r>
    </w:p>
    <w:p>
      <w:r>
        <w:t>No OCR engine (Tesseract/EasyOCR) was installed in the environment; printed and handwritten content was recognized by direct high-resolution visual reading of page images rendered at 300 DPI (with higher-zoom crops for handwritten fields). Resolution was increased by cropping/zoom for low-confidence handwritten fields.</w:t>
      </w:r>
    </w:p>
    <w:p>
      <w:r>
        <w:t>Word comments (Level 1 of the fallback cascade) were successfully set, so no reduction of comment scope was necessary. All 19 handwritten/signature segments are both colored #1F3FA8 and commented.</w:t>
      </w:r>
    </w:p>
    <w:p>
      <w:r>
        <w:t>This Confidence Index is a reasoned quality estimate and does not replace review by qualified specialists, particularly for this regulated pharmacovigilance/quality-complaint document.</w:t>
      </w:r>
    </w:p>
    <w:p>
      <w:pPr>
        <w:pStyle w:val="Heading1"/>
      </w:pPr>
      <w:r>
        <w:t>Consistency reconciliation</w:t>
      </w:r>
    </w:p>
    <w:p>
      <w:pPr>
        <w:pStyle w:val="ListBullet"/>
      </w:pPr>
      <w:r>
        <w:t>Pages determined programmatically: 3; pages processed: 3; pages in report: 3 - match.</w:t>
      </w:r>
    </w:p>
    <w:p>
      <w:pPr>
        <w:pStyle w:val="ListBullet"/>
      </w:pPr>
      <w:r>
        <w:t>Handwritten/signature segments: 19; blue (#1F3FA8) runs in DOCX: 19; [HW] markers in Markdown: 19; comments set: 19 - all match.</w:t>
      </w:r>
    </w:p>
    <w:p>
      <w:pPr>
        <w:pStyle w:val="ListBullet"/>
      </w:pPr>
      <w:r>
        <w:t>Trustworthiness table on preamble page: 3 page rows + 1 total row; values match Phase 9 and the Confidence Index (90 %).</w:t>
      </w:r>
    </w:p>
    <w:p>
      <w:pPr>
        <w:pStyle w:val="ListBullet"/>
      </w:pPr>
      <w:r>
        <w:t>Markdown version contains no preamble content and matches the translation document in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