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bqy8f49mtz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Дослідження вподобань та лояльності користувачів сервісу доставки їжі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Інструменти:</w:t>
      </w:r>
      <w:r w:rsidDel="00000000" w:rsidR="00000000" w:rsidRPr="00000000">
        <w:rPr>
          <w:rtl w:val="0"/>
        </w:rPr>
        <w:t xml:space="preserve"> Google Sheets (очищення даних, формули </w:t>
      </w:r>
      <w:r w:rsidDel="00000000" w:rsidR="00000000" w:rsidRPr="00000000">
        <w:rPr>
          <w:color w:val="188038"/>
          <w:rtl w:val="0"/>
        </w:rPr>
        <w:t xml:space="preserve">COUNTIF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COUNTIFS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візуалізація, дашборд)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Обсяг вибірки:</w:t>
      </w:r>
      <w:r w:rsidDel="00000000" w:rsidR="00000000" w:rsidRPr="00000000">
        <w:rPr>
          <w:rtl w:val="0"/>
        </w:rPr>
        <w:t xml:space="preserve"> 388 записів користувачів (м. Бангалор)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0kfpuz5w8n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Дослідження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Основна мета проекту — проаналізувати поведінку клієнтів сервісу доставки їжі, оцінити рівень їхньої лояльності (повторні замовлення), рівень задоволеності (відгуки) та визначити портрет ключової цільової аудиторії для формування рекомендацій бізнесу.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iv599m7en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Ключові метрики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кількість клієнтів у вибірці:</w:t>
      </w:r>
      <w:r w:rsidDel="00000000" w:rsidR="00000000" w:rsidRPr="00000000">
        <w:rPr>
          <w:rtl w:val="0"/>
        </w:rPr>
        <w:t xml:space="preserve"> 388 осіб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Частка позитивних відгуків (Positive Feedback Rate):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81,70%</w:t>
      </w:r>
      <w:r w:rsidDel="00000000" w:rsidR="00000000" w:rsidRPr="00000000">
        <w:rPr>
          <w:rtl w:val="0"/>
        </w:rPr>
        <w:t xml:space="preserve"> (317 відгуків)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Загальний рівень лояльності (Repeat Order Rate):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77,58%</w:t>
      </w:r>
      <w:r w:rsidDel="00000000" w:rsidR="00000000" w:rsidRPr="00000000">
        <w:rPr>
          <w:rtl w:val="0"/>
        </w:rPr>
        <w:t xml:space="preserve"> (301 особа готовий замовляти знову)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nhas4qi7f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Основні результати аналізу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k56nt3tv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Портрет цільової аудиторії (Демографія та статус)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 родом занять (Occupation):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Студенти (Student):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53,35%</w:t>
      </w:r>
      <w:r w:rsidDel="00000000" w:rsidR="00000000" w:rsidRPr="00000000">
        <w:rPr>
          <w:rtl w:val="0"/>
        </w:rPr>
        <w:t xml:space="preserve"> (207 осіб) — абсолютна більшість користувачів.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Наймані працівники (Employee):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30,41%</w:t>
      </w:r>
      <w:r w:rsidDel="00000000" w:rsidR="00000000" w:rsidRPr="00000000">
        <w:rPr>
          <w:rtl w:val="0"/>
        </w:rPr>
        <w:t xml:space="preserve"> (118 осіб).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Предприємці / Фрілансери (Self Employeed):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13,92%</w:t>
      </w:r>
      <w:r w:rsidDel="00000000" w:rsidR="00000000" w:rsidRPr="00000000">
        <w:rPr>
          <w:rtl w:val="0"/>
        </w:rPr>
        <w:t xml:space="preserve"> (54 особи).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Домогосподарки (House wife):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2,32%</w:t>
      </w:r>
      <w:r w:rsidDel="00000000" w:rsidR="00000000" w:rsidRPr="00000000">
        <w:rPr>
          <w:rtl w:val="0"/>
        </w:rPr>
        <w:t xml:space="preserve"> (9 осіб).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 рівнем доходу (Monthly Income):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Без власного доходу (No Income):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48,20%</w:t>
      </w:r>
      <w:r w:rsidDel="00000000" w:rsidR="00000000" w:rsidRPr="00000000">
        <w:rPr>
          <w:rtl w:val="0"/>
        </w:rPr>
        <w:t xml:space="preserve"> (187 осіб), що корелює з високою часткою студентів.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Дохід &gt; 50 000: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15,98%</w:t>
      </w:r>
      <w:r w:rsidDel="00000000" w:rsidR="00000000" w:rsidRPr="00000000">
        <w:rPr>
          <w:rtl w:val="0"/>
        </w:rPr>
        <w:t xml:space="preserve"> (62 особи).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Дохід 25 001 – 50 000: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17,78%</w:t>
      </w:r>
      <w:r w:rsidDel="00000000" w:rsidR="00000000" w:rsidRPr="00000000">
        <w:rPr>
          <w:rtl w:val="0"/>
        </w:rPr>
        <w:t xml:space="preserve"> (69 осіб).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 статтю (Gender):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Чоловіки (Male):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57,22%</w:t>
      </w:r>
      <w:r w:rsidDel="00000000" w:rsidR="00000000" w:rsidRPr="00000000">
        <w:rPr>
          <w:rtl w:val="0"/>
        </w:rPr>
        <w:t xml:space="preserve"> (222 особи).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Жінки (Female):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42,78%</w:t>
      </w:r>
      <w:r w:rsidDel="00000000" w:rsidR="00000000" w:rsidRPr="00000000">
        <w:rPr>
          <w:rtl w:val="0"/>
        </w:rPr>
        <w:t xml:space="preserve"> (166 осіб).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glvg8p5b8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Аналіз лояльності та повторних замовлень (Loyalty Analysis)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Лояльність за типом клієнта (Customer Type):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Регулярні клієнти (Regular):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78,90%</w:t>
      </w:r>
      <w:r w:rsidDel="00000000" w:rsidR="00000000" w:rsidRPr="00000000">
        <w:rPr>
          <w:rtl w:val="0"/>
        </w:rPr>
        <w:t xml:space="preserve"> лояльності (172 з 218 осіб).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Постійні клієнти (Frequent):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76,71%</w:t>
      </w:r>
      <w:r w:rsidDel="00000000" w:rsidR="00000000" w:rsidRPr="00000000">
        <w:rPr>
          <w:rtl w:val="0"/>
        </w:rPr>
        <w:t xml:space="preserve"> лояльності (112 з 146 осіб).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Нові клієнти (New):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70,83%</w:t>
      </w:r>
      <w:r w:rsidDel="00000000" w:rsidR="00000000" w:rsidRPr="00000000">
        <w:rPr>
          <w:rtl w:val="0"/>
        </w:rPr>
        <w:t xml:space="preserve"> лояльності (17 з 24 осіб).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Лояльність за статтю: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Чоловіки: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78,83%</w:t>
      </w:r>
      <w:r w:rsidDel="00000000" w:rsidR="00000000" w:rsidRPr="00000000">
        <w:rPr>
          <w:rtl w:val="0"/>
        </w:rPr>
        <w:t xml:space="preserve"> (175 із 222).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Жінки: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75,90%</w:t>
      </w:r>
      <w:r w:rsidDel="00000000" w:rsidR="00000000" w:rsidRPr="00000000">
        <w:rPr>
          <w:rtl w:val="0"/>
        </w:rPr>
        <w:t xml:space="preserve"> (126 із 166).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Різниця в лояльності за статтю незначна (~3%), що свідчить про універсальність продукту.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a0ze3h6mf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Стратегічні рекомендації для бізнесу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 на студентську аудиторію (Core Segment):</w:t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Оскільки студентський сегмент складає понад 53% аудиторії, доцільно впровадити спеціальні малобюджетні пропозиції: комбообіди, студентські знижки та реферальні програми ("приведи друга").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нових користувачів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New</w:t>
      </w:r>
      <w:r w:rsidDel="00000000" w:rsidR="00000000" w:rsidRPr="00000000">
        <w:rPr>
          <w:b w:val="1"/>
          <w:bCs w:val="1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Regular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Нові клієнти показують найнижчий рівень лояльності (70,83%). Впровадження знижки чи безкоштовної доставки на 2-ге та 3-тє замовлення дозволить перетворити їх на регулярних покупців з лояльністю &gt;78%.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Робота з негативним фідбеком (18,30% Negative):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Майже 1 із 5 відгуків містить негатив. Рекомендується провести додатковий аналіз причин (час доставки, якість упаковки, холодні страви) для покращення показника NPS та підвищення загальної задоволеності до target-рівня 85%+.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