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2">
            <w:pPr>
              <w:rPr>
                <w:b w:val="1"/>
                <w:color w:val="1f3864"/>
                <w:sz w:val="28"/>
                <w:szCs w:val="28"/>
              </w:rPr>
            </w:pPr>
            <w:r w:rsidDel="00000000" w:rsidR="00000000" w:rsidRPr="00000000">
              <w:rPr>
                <w:b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 continuación, encontrarás distintos campos que deberás completar con la información solicitada. </w:t>
            </w:r>
          </w:p>
        </w:tc>
      </w:tr>
    </w:tbl>
    <w:p w:rsidR="00000000" w:rsidDel="00000000" w:rsidP="00000000" w:rsidRDefault="00000000" w:rsidRPr="00000000" w14:paraId="00000004">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5">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6">
            <w:pPr>
              <w:rPr>
                <w:color w:val="1f3864"/>
              </w:rPr>
            </w:pPr>
            <w:r w:rsidDel="00000000" w:rsidR="00000000" w:rsidRPr="00000000">
              <w:rPr>
                <w:color w:val="1f3864"/>
                <w:rtl w:val="0"/>
              </w:rPr>
              <w:t xml:space="preserve">Resumen de avance proyecto APT</w:t>
            </w:r>
          </w:p>
        </w:tc>
        <w:tc>
          <w:tcPr/>
          <w:p w:rsidR="00000000" w:rsidDel="00000000" w:rsidP="00000000" w:rsidRDefault="00000000" w:rsidRPr="00000000" w14:paraId="00000007">
            <w:pPr>
              <w:spacing w:after="240" w:before="240" w:lineRule="auto"/>
              <w:jc w:val="both"/>
              <w:rPr>
                <w:i w:val="1"/>
                <w:sz w:val="20"/>
                <w:szCs w:val="20"/>
              </w:rPr>
            </w:pPr>
            <w:r w:rsidDel="00000000" w:rsidR="00000000" w:rsidRPr="00000000">
              <w:rPr>
                <w:i w:val="1"/>
                <w:sz w:val="20"/>
                <w:szCs w:val="20"/>
                <w:rtl w:val="0"/>
              </w:rPr>
              <w:t xml:space="preserve">En esta fase de desarrollo, el proyecto "TrueStock" ha alcanzado hitos significativos. Se ha completado la definición de la arquitectura de microservicios en AWS, la configuración de la base de datos PostgreSQL y el levantamiento del broker de mensajería RabbitMQ.</w:t>
            </w:r>
          </w:p>
          <w:p w:rsidR="00000000" w:rsidDel="00000000" w:rsidP="00000000" w:rsidRDefault="00000000" w:rsidRPr="00000000" w14:paraId="00000008">
            <w:pPr>
              <w:spacing w:after="240" w:before="240" w:lineRule="auto"/>
              <w:jc w:val="both"/>
              <w:rPr>
                <w:i w:val="1"/>
                <w:sz w:val="20"/>
                <w:szCs w:val="20"/>
              </w:rPr>
            </w:pPr>
            <w:r w:rsidDel="00000000" w:rsidR="00000000" w:rsidRPr="00000000">
              <w:rPr>
                <w:i w:val="1"/>
                <w:sz w:val="20"/>
                <w:szCs w:val="20"/>
                <w:rtl w:val="0"/>
              </w:rPr>
              <w:t xml:space="preserve">El consumidor de movimientos (</w:t>
            </w:r>
            <w:r w:rsidDel="00000000" w:rsidR="00000000" w:rsidRPr="00000000">
              <w:rPr>
                <w:rFonts w:ascii="Roboto Mono" w:cs="Roboto Mono" w:eastAsia="Roboto Mono" w:hAnsi="Roboto Mono"/>
                <w:i w:val="1"/>
                <w:sz w:val="20"/>
                <w:szCs w:val="20"/>
                <w:rtl w:val="0"/>
              </w:rPr>
              <w:t xml:space="preserve">api-movement</w:t>
            </w:r>
            <w:r w:rsidDel="00000000" w:rsidR="00000000" w:rsidRPr="00000000">
              <w:rPr>
                <w:i w:val="1"/>
                <w:sz w:val="20"/>
                <w:szCs w:val="20"/>
                <w:rtl w:val="0"/>
              </w:rPr>
              <w:t xml:space="preserve">) se encuentra funcional, y se ha desarrollado una parte sustancial del frontend (Next.js), el cual ya está desplegado en un entorno de pruebas (CloudFront) y es funcional.</w:t>
            </w:r>
          </w:p>
          <w:p w:rsidR="00000000" w:rsidDel="00000000" w:rsidP="00000000" w:rsidRDefault="00000000" w:rsidRPr="00000000" w14:paraId="00000009">
            <w:pPr>
              <w:spacing w:after="240" w:before="240" w:lineRule="auto"/>
              <w:jc w:val="both"/>
              <w:rPr>
                <w:i w:val="1"/>
                <w:sz w:val="20"/>
                <w:szCs w:val="20"/>
              </w:rPr>
            </w:pPr>
            <w:r w:rsidDel="00000000" w:rsidR="00000000" w:rsidRPr="00000000">
              <w:rPr>
                <w:i w:val="1"/>
                <w:sz w:val="20"/>
                <w:szCs w:val="20"/>
                <w:rtl w:val="0"/>
              </w:rPr>
              <w:t xml:space="preserve">Específicamente, se han cumplido los objetivos específicos relacionados con la "construcción de aplicaciones web" y la "implementación de un sistema de alertas". Esto se demuestra en las vistas de "Inventario", "Facturación" y "Centro de Notificaciones", que están operativas.</w:t>
            </w:r>
          </w:p>
        </w:tc>
      </w:tr>
      <w:tr>
        <w:trPr>
          <w:cantSplit w:val="0"/>
          <w:trHeight w:val="1247" w:hRule="atLeast"/>
          <w:tblHeader w:val="0"/>
        </w:trPr>
        <w:tc>
          <w:tcPr>
            <w:vAlign w:val="center"/>
          </w:tcPr>
          <w:p w:rsidR="00000000" w:rsidDel="00000000" w:rsidP="00000000" w:rsidRDefault="00000000" w:rsidRPr="00000000" w14:paraId="0000000A">
            <w:pPr>
              <w:rPr>
                <w:color w:val="1f3864"/>
              </w:rPr>
            </w:pPr>
            <w:r w:rsidDel="00000000" w:rsidR="00000000" w:rsidRPr="00000000">
              <w:rPr>
                <w:color w:val="1f3864"/>
                <w:rtl w:val="0"/>
              </w:rPr>
              <w:t xml:space="preserve">Objetivos</w:t>
            </w:r>
          </w:p>
        </w:tc>
        <w:tc>
          <w:tcPr>
            <w:vAlign w:val="center"/>
          </w:tcPr>
          <w:p w:rsidR="00000000" w:rsidDel="00000000" w:rsidP="00000000" w:rsidRDefault="00000000" w:rsidRPr="00000000" w14:paraId="0000000B">
            <w:pPr>
              <w:spacing w:after="240" w:before="240" w:lineRule="auto"/>
              <w:jc w:val="both"/>
              <w:rPr>
                <w:sz w:val="20"/>
                <w:szCs w:val="20"/>
              </w:rPr>
            </w:pPr>
            <w:r w:rsidDel="00000000" w:rsidR="00000000" w:rsidRPr="00000000">
              <w:rPr>
                <w:sz w:val="18"/>
                <w:szCs w:val="18"/>
                <w:rtl w:val="0"/>
              </w:rPr>
              <w:t xml:space="preserve">Desarrollar un sistema inteligente para la gestión automatizada de facturas y control de stock en PYMEs mediante tecnologías de Inteligencia artificial y análisis predictivo.</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0C">
            <w:pPr>
              <w:rPr>
                <w:color w:val="1f3864"/>
              </w:rPr>
            </w:pPr>
            <w:r w:rsidDel="00000000" w:rsidR="00000000" w:rsidRPr="00000000">
              <w:rPr>
                <w:color w:val="1f3864"/>
                <w:rtl w:val="0"/>
              </w:rPr>
              <w:t xml:space="preserve">Metodología</w:t>
            </w:r>
          </w:p>
        </w:tc>
        <w:tc>
          <w:tcPr>
            <w:vAlign w:val="center"/>
          </w:tcPr>
          <w:p w:rsidR="00000000" w:rsidDel="00000000" w:rsidP="00000000" w:rsidRDefault="00000000" w:rsidRPr="00000000" w14:paraId="0000000D">
            <w:pPr>
              <w:jc w:val="both"/>
              <w:rPr>
                <w:sz w:val="20"/>
                <w:szCs w:val="20"/>
              </w:rPr>
            </w:pPr>
            <w:r w:rsidDel="00000000" w:rsidR="00000000" w:rsidRPr="00000000">
              <w:rPr>
                <w:sz w:val="18"/>
                <w:szCs w:val="18"/>
                <w:rtl w:val="0"/>
              </w:rPr>
              <w:t xml:space="preserve">tradicional de tipo cascada</w:t>
            </w:r>
            <w:r w:rsidDel="00000000" w:rsidR="00000000" w:rsidRPr="00000000">
              <w:rPr>
                <w:rtl w:val="0"/>
              </w:rPr>
            </w:r>
          </w:p>
        </w:tc>
      </w:tr>
      <w:tr>
        <w:trPr>
          <w:cantSplit w:val="0"/>
          <w:trHeight w:val="2377" w:hRule="atLeast"/>
          <w:tblHeader w:val="0"/>
        </w:trPr>
        <w:tc>
          <w:tcPr>
            <w:vAlign w:val="center"/>
          </w:tcPr>
          <w:p w:rsidR="00000000" w:rsidDel="00000000" w:rsidP="00000000" w:rsidRDefault="00000000" w:rsidRPr="00000000" w14:paraId="0000000E">
            <w:pPr>
              <w:rPr>
                <w:color w:val="1f3864"/>
              </w:rPr>
            </w:pPr>
            <w:r w:rsidDel="00000000" w:rsidR="00000000" w:rsidRPr="00000000">
              <w:rPr>
                <w:color w:val="1f3864"/>
                <w:rtl w:val="0"/>
              </w:rPr>
              <w:t xml:space="preserve">Evidencias de avance</w:t>
            </w:r>
          </w:p>
        </w:tc>
        <w:tc>
          <w:tcPr>
            <w:vAlign w:val="center"/>
          </w:tcPr>
          <w:p w:rsidR="00000000" w:rsidDel="00000000" w:rsidP="00000000" w:rsidRDefault="00000000" w:rsidRPr="00000000" w14:paraId="0000000F">
            <w:pPr>
              <w:jc w:val="both"/>
              <w:rPr>
                <w:sz w:val="20"/>
                <w:szCs w:val="20"/>
              </w:rPr>
            </w:pPr>
            <w:r w:rsidDel="00000000" w:rsidR="00000000" w:rsidRPr="00000000">
              <w:rPr>
                <w:sz w:val="20"/>
                <w:szCs w:val="20"/>
                <w:rtl w:val="0"/>
              </w:rPr>
              <w:t xml:space="preserve">Se presentan como evidencias de avance el despliegue funcional del frontend de la aplicación web en la URL (</w:t>
            </w:r>
            <w:hyperlink r:id="rId8">
              <w:r w:rsidDel="00000000" w:rsidR="00000000" w:rsidRPr="00000000">
                <w:rPr>
                  <w:color w:val="000000"/>
                  <w:sz w:val="20"/>
                  <w:szCs w:val="20"/>
                  <w:u w:val="single"/>
                  <w:rtl w:val="0"/>
                </w:rPr>
                <w:t xml:space="preserve">https://d9ll783ij6lm4.cloudfront.net/</w:t>
              </w:r>
            </w:hyperlink>
            <w:r w:rsidDel="00000000" w:rsidR="00000000" w:rsidRPr="00000000">
              <w:rPr>
                <w:sz w:val="20"/>
                <w:szCs w:val="20"/>
                <w:rtl w:val="0"/>
              </w:rPr>
              <w:t xml:space="preserve">) y un conjunto de capturas de pantalla.</w:t>
            </w:r>
          </w:p>
          <w:p w:rsidR="00000000" w:rsidDel="00000000" w:rsidP="00000000" w:rsidRDefault="00000000" w:rsidRPr="00000000" w14:paraId="00000010">
            <w:pPr>
              <w:jc w:val="both"/>
              <w:rPr>
                <w:sz w:val="20"/>
                <w:szCs w:val="20"/>
              </w:rPr>
            </w:pPr>
            <w:r w:rsidDel="00000000" w:rsidR="00000000" w:rsidRPr="00000000">
              <w:rPr>
                <w:sz w:val="20"/>
                <w:szCs w:val="20"/>
                <w:rtl w:val="0"/>
              </w:rPr>
              <w:t xml:space="preserve">Estas evidencias demuestran el desarrollo completado de la interfaz de usuario (UI) para las vistas principales:</w:t>
            </w:r>
          </w:p>
          <w:p w:rsidR="00000000" w:rsidDel="00000000" w:rsidP="00000000" w:rsidRDefault="00000000" w:rsidRPr="00000000" w14:paraId="00000011">
            <w:pPr>
              <w:numPr>
                <w:ilvl w:val="0"/>
                <w:numId w:val="1"/>
              </w:numPr>
              <w:ind w:left="720" w:hanging="360"/>
              <w:jc w:val="both"/>
              <w:rPr>
                <w:sz w:val="20"/>
                <w:szCs w:val="20"/>
              </w:rPr>
            </w:pPr>
            <w:r w:rsidDel="00000000" w:rsidR="00000000" w:rsidRPr="00000000">
              <w:rPr>
                <w:sz w:val="20"/>
                <w:szCs w:val="20"/>
                <w:rtl w:val="0"/>
              </w:rPr>
              <w:t xml:space="preserve">Dashboard (Acceso rápido y calendario)</w:t>
            </w:r>
          </w:p>
          <w:p w:rsidR="00000000" w:rsidDel="00000000" w:rsidP="00000000" w:rsidRDefault="00000000" w:rsidRPr="00000000" w14:paraId="00000012">
            <w:pPr>
              <w:numPr>
                <w:ilvl w:val="0"/>
                <w:numId w:val="1"/>
              </w:numPr>
              <w:ind w:left="720" w:hanging="360"/>
              <w:jc w:val="both"/>
              <w:rPr>
                <w:sz w:val="20"/>
                <w:szCs w:val="20"/>
              </w:rPr>
            </w:pPr>
            <w:r w:rsidDel="00000000" w:rsidR="00000000" w:rsidRPr="00000000">
              <w:rPr>
                <w:sz w:val="20"/>
                <w:szCs w:val="20"/>
                <w:rtl w:val="0"/>
              </w:rPr>
              <w:t xml:space="preserve">Inventario (CRUD de productos)</w:t>
            </w:r>
          </w:p>
          <w:p w:rsidR="00000000" w:rsidDel="00000000" w:rsidP="00000000" w:rsidRDefault="00000000" w:rsidRPr="00000000" w14:paraId="00000013">
            <w:pPr>
              <w:numPr>
                <w:ilvl w:val="0"/>
                <w:numId w:val="1"/>
              </w:numPr>
              <w:ind w:left="720" w:hanging="360"/>
              <w:jc w:val="both"/>
              <w:rPr>
                <w:sz w:val="20"/>
                <w:szCs w:val="20"/>
              </w:rPr>
            </w:pPr>
            <w:r w:rsidDel="00000000" w:rsidR="00000000" w:rsidRPr="00000000">
              <w:rPr>
                <w:sz w:val="20"/>
                <w:szCs w:val="20"/>
                <w:rtl w:val="0"/>
              </w:rPr>
              <w:t xml:space="preserve">Facturación (Ingesta de documentos OCR)</w:t>
            </w:r>
          </w:p>
          <w:p w:rsidR="00000000" w:rsidDel="00000000" w:rsidP="00000000" w:rsidRDefault="00000000" w:rsidRPr="00000000" w14:paraId="00000014">
            <w:pPr>
              <w:numPr>
                <w:ilvl w:val="0"/>
                <w:numId w:val="1"/>
              </w:numPr>
              <w:ind w:left="720" w:hanging="360"/>
              <w:jc w:val="both"/>
              <w:rPr>
                <w:sz w:val="20"/>
                <w:szCs w:val="20"/>
              </w:rPr>
            </w:pPr>
            <w:r w:rsidDel="00000000" w:rsidR="00000000" w:rsidRPr="00000000">
              <w:rPr>
                <w:sz w:val="20"/>
                <w:szCs w:val="20"/>
                <w:rtl w:val="0"/>
              </w:rPr>
              <w:t xml:space="preserve">Centro de Notificaciones (Alertas de stock)</w:t>
            </w:r>
          </w:p>
          <w:p w:rsidR="00000000" w:rsidDel="00000000" w:rsidP="00000000" w:rsidRDefault="00000000" w:rsidRPr="00000000" w14:paraId="00000015">
            <w:pPr>
              <w:jc w:val="both"/>
              <w:rPr>
                <w:i w:val="1"/>
                <w:color w:val="548dd4"/>
                <w:sz w:val="20"/>
                <w:szCs w:val="20"/>
              </w:rPr>
            </w:pPr>
            <w:r w:rsidDel="00000000" w:rsidR="00000000" w:rsidRPr="00000000">
              <w:rPr>
                <w:sz w:val="20"/>
                <w:szCs w:val="20"/>
                <w:rtl w:val="0"/>
              </w:rPr>
              <w:t xml:space="preserve">Estas evidencias permiten dar cuenta del desarrollo del proyecto y el cumplimiento parcial del objetivo específico "Construir aplicaciones web y móviles" (ajustado a solo web) y del requerimiento no funcional de "Interfaz Web Responsive".</w:t>
            </w:r>
            <w:r w:rsidDel="00000000" w:rsidR="00000000" w:rsidRPr="00000000">
              <w:rPr>
                <w:rtl w:val="0"/>
              </w:rPr>
            </w:r>
          </w:p>
        </w:tc>
      </w:tr>
      <w:tr>
        <w:trPr>
          <w:cantSplit w:val="0"/>
          <w:trHeight w:val="440" w:hRule="atLeast"/>
          <w:tblHeader w:val="0"/>
        </w:trPr>
        <w:tc>
          <w:tcPr>
            <w:vAlign w:val="center"/>
          </w:tcPr>
          <w:p w:rsidR="00000000" w:rsidDel="00000000" w:rsidP="00000000" w:rsidRDefault="00000000" w:rsidRPr="00000000" w14:paraId="00000016">
            <w:pPr>
              <w:rPr>
                <w:b w:val="1"/>
                <w:color w:val="1f3864"/>
                <w:sz w:val="28"/>
                <w:szCs w:val="28"/>
              </w:rPr>
            </w:pPr>
            <w:r w:rsidDel="00000000" w:rsidR="00000000" w:rsidRPr="00000000">
              <w:rPr>
                <w:b w:val="1"/>
                <w:color w:val="1f3864"/>
                <w:sz w:val="28"/>
                <w:szCs w:val="28"/>
                <w:rtl w:val="0"/>
              </w:rPr>
              <w:t xml:space="preserve">2. Monitoreo del Plan de Trabajo </w:t>
            </w:r>
          </w:p>
        </w:tc>
      </w:tr>
      <w:tr>
        <w:trPr>
          <w:cantSplit w:val="0"/>
          <w:trHeight w:val="800" w:hRule="atLeast"/>
          <w:tblHeader w:val="0"/>
        </w:trPr>
        <w:tc>
          <w:tcPr>
            <w:shd w:fill="d9e2f3" w:val="clear"/>
            <w:vAlign w:val="center"/>
          </w:tcPr>
          <w:p w:rsidR="00000000" w:rsidDel="00000000" w:rsidP="00000000" w:rsidRDefault="00000000" w:rsidRPr="00000000" w14:paraId="00000017">
            <w:pPr>
              <w:jc w:val="both"/>
              <w:rPr>
                <w:color w:val="1f3864"/>
              </w:rPr>
            </w:pPr>
            <w:r w:rsidDel="00000000" w:rsidR="00000000" w:rsidRPr="00000000">
              <w:rPr>
                <w:color w:val="1f3864"/>
                <w:rtl w:val="0"/>
              </w:rPr>
              <w:t xml:space="preserve">Examina cuidadosamente tu plan de trabajo, enfocándote especialmente en la columna de estado de avance y ajustes.</w:t>
            </w:r>
          </w:p>
        </w:tc>
      </w:tr>
    </w:tbl>
    <w:p w:rsidR="00000000" w:rsidDel="00000000" w:rsidP="00000000" w:rsidRDefault="00000000" w:rsidRPr="00000000" w14:paraId="00000018">
      <w:pPr>
        <w:spacing w:after="0" w:line="240" w:lineRule="auto"/>
        <w:rPr>
          <w:color w:val="595959"/>
          <w:sz w:val="24"/>
          <w:szCs w:val="24"/>
        </w:rPr>
      </w:pPr>
      <w:r w:rsidDel="00000000" w:rsidR="00000000" w:rsidRPr="00000000">
        <w:rPr>
          <w:rtl w:val="0"/>
        </w:rPr>
      </w:r>
    </w:p>
    <w:tbl>
      <w:tblPr>
        <w:tblStyle w:val="Table3"/>
        <w:tblpPr w:leftFromText="180" w:rightFromText="180" w:topFromText="0" w:bottomFromText="0" w:vertAnchor="page" w:horzAnchor="margin" w:tblpXSpec="center" w:tblpY="3517"/>
        <w:tblW w:w="9776.000000000002"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28"/>
        <w:gridCol w:w="1077"/>
        <w:gridCol w:w="1276"/>
        <w:gridCol w:w="1276"/>
        <w:gridCol w:w="1275"/>
        <w:gridCol w:w="1276"/>
        <w:gridCol w:w="1418"/>
        <w:gridCol w:w="850"/>
        <w:tblGridChange w:id="0">
          <w:tblGrid>
            <w:gridCol w:w="1328"/>
            <w:gridCol w:w="1077"/>
            <w:gridCol w:w="1276"/>
            <w:gridCol w:w="1276"/>
            <w:gridCol w:w="1275"/>
            <w:gridCol w:w="1276"/>
            <w:gridCol w:w="1418"/>
            <w:gridCol w:w="850"/>
          </w:tblGrid>
        </w:tblGridChange>
      </w:tblGrid>
      <w:tr>
        <w:trPr>
          <w:cantSplit w:val="0"/>
          <w:trHeight w:val="415" w:hRule="atLeast"/>
          <w:tblHeader w:val="0"/>
        </w:trPr>
        <w:tc>
          <w:tcPr>
            <w:gridSpan w:val="8"/>
            <w:vAlign w:val="center"/>
          </w:tcPr>
          <w:p w:rsidR="00000000" w:rsidDel="00000000" w:rsidP="00000000" w:rsidRDefault="00000000" w:rsidRPr="00000000" w14:paraId="00000019">
            <w:pPr>
              <w:jc w:val="center"/>
              <w:rPr>
                <w:color w:val="1f3864"/>
                <w:sz w:val="18"/>
                <w:szCs w:val="18"/>
              </w:rPr>
            </w:pPr>
            <w:r w:rsidDel="00000000" w:rsidR="00000000" w:rsidRPr="00000000">
              <w:rPr>
                <w:color w:val="1f3864"/>
                <w:sz w:val="18"/>
                <w:szCs w:val="18"/>
                <w:rtl w:val="0"/>
              </w:rPr>
              <w:t xml:space="preserve">Plan de Trabajo</w:t>
            </w:r>
          </w:p>
        </w:tc>
      </w:tr>
      <w:tr>
        <w:trPr>
          <w:cantSplit w:val="0"/>
          <w:trHeight w:val="711" w:hRule="atLeast"/>
          <w:tblHeader w:val="0"/>
        </w:trPr>
        <w:tc>
          <w:tcPr>
            <w:vAlign w:val="center"/>
          </w:tcPr>
          <w:p w:rsidR="00000000" w:rsidDel="00000000" w:rsidP="00000000" w:rsidRDefault="00000000" w:rsidRPr="00000000" w14:paraId="00000021">
            <w:pPr>
              <w:jc w:val="center"/>
              <w:rPr>
                <w:color w:val="1f3864"/>
                <w:sz w:val="18"/>
                <w:szCs w:val="18"/>
              </w:rPr>
            </w:pPr>
            <w:r w:rsidDel="00000000" w:rsidR="00000000" w:rsidRPr="00000000">
              <w:rPr>
                <w:color w:val="1f3864"/>
                <w:sz w:val="18"/>
                <w:szCs w:val="18"/>
                <w:rtl w:val="0"/>
              </w:rPr>
              <w:t xml:space="preserve">Competencia o unidades de competencias</w:t>
            </w:r>
          </w:p>
        </w:tc>
        <w:tc>
          <w:tcPr>
            <w:vAlign w:val="center"/>
          </w:tcPr>
          <w:p w:rsidR="00000000" w:rsidDel="00000000" w:rsidP="00000000" w:rsidRDefault="00000000" w:rsidRPr="00000000" w14:paraId="00000022">
            <w:pPr>
              <w:jc w:val="center"/>
              <w:rPr>
                <w:color w:val="1f3864"/>
                <w:sz w:val="18"/>
                <w:szCs w:val="18"/>
              </w:rPr>
            </w:pPr>
            <w:r w:rsidDel="00000000" w:rsidR="00000000" w:rsidRPr="00000000">
              <w:rPr>
                <w:color w:val="1f3864"/>
                <w:sz w:val="18"/>
                <w:szCs w:val="18"/>
                <w:rtl w:val="0"/>
              </w:rPr>
              <w:t xml:space="preserve">Actividades</w:t>
            </w:r>
          </w:p>
        </w:tc>
        <w:tc>
          <w:tcPr>
            <w:vAlign w:val="center"/>
          </w:tcPr>
          <w:p w:rsidR="00000000" w:rsidDel="00000000" w:rsidP="00000000" w:rsidRDefault="00000000" w:rsidRPr="00000000" w14:paraId="00000023">
            <w:pPr>
              <w:jc w:val="center"/>
              <w:rPr>
                <w:color w:val="1f3864"/>
                <w:sz w:val="18"/>
                <w:szCs w:val="18"/>
              </w:rPr>
            </w:pPr>
            <w:r w:rsidDel="00000000" w:rsidR="00000000" w:rsidRPr="00000000">
              <w:rPr>
                <w:color w:val="1f3864"/>
                <w:sz w:val="18"/>
                <w:szCs w:val="18"/>
                <w:rtl w:val="0"/>
              </w:rPr>
              <w:t xml:space="preserve">Recursos</w:t>
            </w:r>
          </w:p>
        </w:tc>
        <w:tc>
          <w:tcPr>
            <w:vAlign w:val="center"/>
          </w:tcPr>
          <w:p w:rsidR="00000000" w:rsidDel="00000000" w:rsidP="00000000" w:rsidRDefault="00000000" w:rsidRPr="00000000" w14:paraId="00000024">
            <w:pPr>
              <w:jc w:val="center"/>
              <w:rPr>
                <w:color w:val="1f3864"/>
                <w:sz w:val="18"/>
                <w:szCs w:val="18"/>
              </w:rPr>
            </w:pPr>
            <w:r w:rsidDel="00000000" w:rsidR="00000000" w:rsidRPr="00000000">
              <w:rPr>
                <w:color w:val="1f3864"/>
                <w:sz w:val="18"/>
                <w:szCs w:val="18"/>
                <w:rtl w:val="0"/>
              </w:rPr>
              <w:t xml:space="preserve">Duración de la actividad</w:t>
            </w:r>
          </w:p>
        </w:tc>
        <w:tc>
          <w:tcPr>
            <w:vAlign w:val="center"/>
          </w:tcPr>
          <w:p w:rsidR="00000000" w:rsidDel="00000000" w:rsidP="00000000" w:rsidRDefault="00000000" w:rsidRPr="00000000" w14:paraId="00000025">
            <w:pPr>
              <w:jc w:val="center"/>
              <w:rPr>
                <w:color w:val="1f3864"/>
                <w:sz w:val="18"/>
                <w:szCs w:val="18"/>
              </w:rPr>
            </w:pPr>
            <w:r w:rsidDel="00000000" w:rsidR="00000000" w:rsidRPr="00000000">
              <w:rPr>
                <w:color w:val="1f3864"/>
                <w:sz w:val="18"/>
                <w:szCs w:val="18"/>
                <w:rtl w:val="0"/>
              </w:rPr>
              <w:t xml:space="preserve">Responsable</w:t>
            </w:r>
            <w:r w:rsidDel="00000000" w:rsidR="00000000" w:rsidRPr="00000000">
              <w:rPr>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26">
            <w:pPr>
              <w:jc w:val="center"/>
              <w:rPr>
                <w:color w:val="1f3864"/>
                <w:sz w:val="18"/>
                <w:szCs w:val="18"/>
              </w:rPr>
            </w:pPr>
            <w:r w:rsidDel="00000000" w:rsidR="00000000" w:rsidRPr="00000000">
              <w:rPr>
                <w:color w:val="1f3864"/>
                <w:sz w:val="18"/>
                <w:szCs w:val="18"/>
                <w:rtl w:val="0"/>
              </w:rPr>
              <w:t xml:space="preserve">Observaciones</w:t>
            </w:r>
          </w:p>
        </w:tc>
        <w:tc>
          <w:tcPr>
            <w:vAlign w:val="center"/>
          </w:tcPr>
          <w:p w:rsidR="00000000" w:rsidDel="00000000" w:rsidP="00000000" w:rsidRDefault="00000000" w:rsidRPr="00000000" w14:paraId="00000027">
            <w:pPr>
              <w:jc w:val="center"/>
              <w:rPr>
                <w:color w:val="1f3864"/>
                <w:sz w:val="18"/>
                <w:szCs w:val="18"/>
              </w:rPr>
            </w:pPr>
            <w:r w:rsidDel="00000000" w:rsidR="00000000" w:rsidRPr="00000000">
              <w:rPr>
                <w:color w:val="1f3864"/>
                <w:sz w:val="18"/>
                <w:szCs w:val="18"/>
                <w:rtl w:val="0"/>
              </w:rPr>
              <w:t xml:space="preserve">Estado de avance</w:t>
            </w:r>
          </w:p>
        </w:tc>
        <w:tc>
          <w:tcPr>
            <w:vAlign w:val="center"/>
          </w:tcPr>
          <w:p w:rsidR="00000000" w:rsidDel="00000000" w:rsidP="00000000" w:rsidRDefault="00000000" w:rsidRPr="00000000" w14:paraId="00000028">
            <w:pPr>
              <w:jc w:val="center"/>
              <w:rPr>
                <w:color w:val="1f3864"/>
                <w:sz w:val="18"/>
                <w:szCs w:val="18"/>
              </w:rPr>
            </w:pPr>
            <w:r w:rsidDel="00000000" w:rsidR="00000000" w:rsidRPr="00000000">
              <w:rPr>
                <w:color w:val="1f3864"/>
                <w:sz w:val="18"/>
                <w:szCs w:val="18"/>
                <w:rtl w:val="0"/>
              </w:rPr>
              <w:t xml:space="preserve">Ajustes</w:t>
            </w:r>
          </w:p>
        </w:tc>
      </w:tr>
      <w:tr>
        <w:trPr>
          <w:cantSplit w:val="0"/>
          <w:trHeight w:val="2410" w:hRule="atLeast"/>
          <w:tblHeader w:val="0"/>
        </w:trPr>
        <w:tc>
          <w:tcPr/>
          <w:p w:rsidR="00000000" w:rsidDel="00000000" w:rsidP="00000000" w:rsidRDefault="00000000" w:rsidRPr="00000000" w14:paraId="00000029">
            <w:pPr>
              <w:jc w:val="both"/>
              <w:rPr>
                <w:b w:val="1"/>
                <w:sz w:val="18"/>
                <w:szCs w:val="18"/>
              </w:rPr>
            </w:pPr>
            <w:r w:rsidDel="00000000" w:rsidR="00000000" w:rsidRPr="00000000">
              <w:rPr>
                <w:i w:val="1"/>
                <w:color w:val="548dd4"/>
                <w:sz w:val="18"/>
                <w:szCs w:val="18"/>
                <w:rtl w:val="0"/>
              </w:rPr>
              <w:t xml:space="preserve">Nombra las competencias o unidades de competencias que se relacionan con las diferentes actividades requeridas para el desarrollo del proyecto APT.</w:t>
            </w:r>
            <w:r w:rsidDel="00000000" w:rsidR="00000000" w:rsidRPr="00000000">
              <w:rPr>
                <w:rtl w:val="0"/>
              </w:rPr>
            </w:r>
          </w:p>
        </w:tc>
        <w:tc>
          <w:tcPr/>
          <w:p w:rsidR="00000000" w:rsidDel="00000000" w:rsidP="00000000" w:rsidRDefault="00000000" w:rsidRPr="00000000" w14:paraId="0000002A">
            <w:pPr>
              <w:jc w:val="both"/>
              <w:rPr>
                <w:i w:val="1"/>
                <w:color w:val="548dd4"/>
                <w:sz w:val="18"/>
                <w:szCs w:val="18"/>
              </w:rPr>
            </w:pPr>
            <w:r w:rsidDel="00000000" w:rsidR="00000000" w:rsidRPr="00000000">
              <w:rPr>
                <w:i w:val="1"/>
                <w:color w:val="548dd4"/>
                <w:sz w:val="18"/>
                <w:szCs w:val="18"/>
                <w:rtl w:val="0"/>
              </w:rPr>
              <w:t xml:space="preserve">Nombra las actividades que se necesitan para desarrollar el proyecto APT. </w:t>
            </w:r>
          </w:p>
        </w:tc>
        <w:tc>
          <w:tcPr/>
          <w:p w:rsidR="00000000" w:rsidDel="00000000" w:rsidP="00000000" w:rsidRDefault="00000000" w:rsidRPr="00000000" w14:paraId="0000002B">
            <w:pPr>
              <w:jc w:val="both"/>
              <w:rPr>
                <w:b w:val="1"/>
                <w:sz w:val="18"/>
                <w:szCs w:val="18"/>
              </w:rPr>
            </w:pPr>
            <w:r w:rsidDel="00000000" w:rsidR="00000000" w:rsidRPr="00000000">
              <w:rPr>
                <w:i w:val="1"/>
                <w:color w:val="548dd4"/>
                <w:sz w:val="18"/>
                <w:szCs w:val="18"/>
                <w:rtl w:val="0"/>
              </w:rPr>
              <w:t xml:space="preserve">Nombra los recursos necesarios para llevar a cabo las actividades definidas.</w:t>
            </w:r>
            <w:r w:rsidDel="00000000" w:rsidR="00000000" w:rsidRPr="00000000">
              <w:rPr>
                <w:rtl w:val="0"/>
              </w:rPr>
            </w:r>
          </w:p>
        </w:tc>
        <w:tc>
          <w:tcPr/>
          <w:p w:rsidR="00000000" w:rsidDel="00000000" w:rsidP="00000000" w:rsidRDefault="00000000" w:rsidRPr="00000000" w14:paraId="0000002C">
            <w:pPr>
              <w:jc w:val="both"/>
              <w:rPr>
                <w:b w:val="1"/>
                <w:sz w:val="18"/>
                <w:szCs w:val="18"/>
              </w:rPr>
            </w:pPr>
            <w:r w:rsidDel="00000000" w:rsidR="00000000" w:rsidRPr="00000000">
              <w:rPr>
                <w:i w:val="1"/>
                <w:color w:val="548dd4"/>
                <w:sz w:val="18"/>
                <w:szCs w:val="18"/>
                <w:rtl w:val="0"/>
              </w:rPr>
              <w:t xml:space="preserve">Señala la duración de cada actividad. </w:t>
            </w:r>
            <w:r w:rsidDel="00000000" w:rsidR="00000000" w:rsidRPr="00000000">
              <w:rPr>
                <w:rtl w:val="0"/>
              </w:rPr>
            </w:r>
          </w:p>
        </w:tc>
        <w:tc>
          <w:tcPr/>
          <w:p w:rsidR="00000000" w:rsidDel="00000000" w:rsidP="00000000" w:rsidRDefault="00000000" w:rsidRPr="00000000" w14:paraId="0000002D">
            <w:pPr>
              <w:jc w:val="both"/>
              <w:rPr>
                <w:i w:val="1"/>
                <w:color w:val="548dd4"/>
                <w:sz w:val="18"/>
                <w:szCs w:val="18"/>
              </w:rPr>
            </w:pPr>
            <w:r w:rsidDel="00000000" w:rsidR="00000000" w:rsidRPr="00000000">
              <w:rPr>
                <w:i w:val="1"/>
                <w:color w:val="548dd4"/>
                <w:sz w:val="18"/>
                <w:szCs w:val="18"/>
                <w:rtl w:val="0"/>
              </w:rPr>
              <w:t xml:space="preserve">Escribe el nombre del integrante del equipo responsable de cada actividad.</w:t>
            </w:r>
          </w:p>
        </w:tc>
        <w:tc>
          <w:tcPr/>
          <w:p w:rsidR="00000000" w:rsidDel="00000000" w:rsidP="00000000" w:rsidRDefault="00000000" w:rsidRPr="00000000" w14:paraId="0000002E">
            <w:pPr>
              <w:jc w:val="both"/>
              <w:rPr>
                <w:i w:val="1"/>
                <w:color w:val="548dd4"/>
                <w:sz w:val="18"/>
                <w:szCs w:val="18"/>
              </w:rPr>
            </w:pPr>
            <w:r w:rsidDel="00000000" w:rsidR="00000000" w:rsidRPr="00000000">
              <w:rPr>
                <w:i w:val="1"/>
                <w:color w:val="548dd4"/>
                <w:sz w:val="18"/>
                <w:szCs w:val="18"/>
                <w:rtl w:val="0"/>
              </w:rPr>
              <w:t xml:space="preserve">Señala las dificultades o facilitadores que se podrían presentar durante la ejecución de cada una de las actividades propuestas.</w:t>
            </w:r>
          </w:p>
        </w:tc>
        <w:tc>
          <w:tcPr/>
          <w:p w:rsidR="00000000" w:rsidDel="00000000" w:rsidP="00000000" w:rsidRDefault="00000000" w:rsidRPr="00000000" w14:paraId="0000002F">
            <w:pPr>
              <w:jc w:val="both"/>
              <w:rPr>
                <w:i w:val="1"/>
                <w:color w:val="548dd4"/>
                <w:sz w:val="18"/>
                <w:szCs w:val="18"/>
              </w:rPr>
            </w:pPr>
            <w:r w:rsidDel="00000000" w:rsidR="00000000" w:rsidRPr="00000000">
              <w:rPr>
                <w:i w:val="1"/>
                <w:color w:val="548dd4"/>
                <w:sz w:val="18"/>
                <w:szCs w:val="18"/>
                <w:rtl w:val="0"/>
              </w:rPr>
              <w:t xml:space="preserve">Describe el estado de avance de cada actividad.</w:t>
            </w:r>
          </w:p>
          <w:p w:rsidR="00000000" w:rsidDel="00000000" w:rsidP="00000000" w:rsidRDefault="00000000" w:rsidRPr="00000000" w14:paraId="00000030">
            <w:pPr>
              <w:jc w:val="both"/>
              <w:rPr>
                <w:i w:val="1"/>
                <w:color w:val="c00000"/>
                <w:sz w:val="16"/>
                <w:szCs w:val="16"/>
              </w:rPr>
            </w:pPr>
            <w:r w:rsidDel="00000000" w:rsidR="00000000" w:rsidRPr="00000000">
              <w:rPr>
                <w:rtl w:val="0"/>
              </w:rPr>
            </w:r>
          </w:p>
          <w:p w:rsidR="00000000" w:rsidDel="00000000" w:rsidP="00000000" w:rsidRDefault="00000000" w:rsidRPr="00000000" w14:paraId="00000031">
            <w:pPr>
              <w:jc w:val="both"/>
              <w:rPr>
                <w:i w:val="1"/>
                <w:color w:val="548dd4"/>
                <w:sz w:val="18"/>
                <w:szCs w:val="18"/>
              </w:rPr>
            </w:pPr>
            <w:r w:rsidDel="00000000" w:rsidR="00000000" w:rsidRPr="00000000">
              <w:rPr>
                <w:i w:val="1"/>
                <w:color w:val="548dd4"/>
                <w:sz w:val="18"/>
                <w:szCs w:val="18"/>
                <w:rtl w:val="0"/>
              </w:rPr>
              <w:t xml:space="preserve">Tipos de estado: </w:t>
            </w:r>
          </w:p>
          <w:p w:rsidR="00000000" w:rsidDel="00000000" w:rsidP="00000000" w:rsidRDefault="00000000" w:rsidRPr="00000000" w14:paraId="00000032">
            <w:pPr>
              <w:jc w:val="both"/>
              <w:rPr>
                <w:i w:val="1"/>
                <w:color w:val="c00000"/>
                <w:sz w:val="16"/>
                <w:szCs w:val="16"/>
              </w:rPr>
            </w:pPr>
            <w:r w:rsidDel="00000000" w:rsidR="00000000" w:rsidRPr="00000000">
              <w:rPr>
                <w:i w:val="1"/>
                <w:color w:val="548dd4"/>
                <w:sz w:val="18"/>
                <w:szCs w:val="18"/>
                <w:rtl w:val="0"/>
              </w:rPr>
              <w:t xml:space="preserve">En curso/ Con retraso/ No iniciado/ Completado/ Ajustada</w:t>
            </w:r>
            <w:r w:rsidDel="00000000" w:rsidR="00000000" w:rsidRPr="00000000">
              <w:rPr>
                <w:i w:val="1"/>
                <w:color w:val="c00000"/>
                <w:sz w:val="16"/>
                <w:szCs w:val="16"/>
                <w:rtl w:val="0"/>
              </w:rPr>
              <w:t xml:space="preserve"> </w:t>
            </w:r>
          </w:p>
        </w:tc>
        <w:tc>
          <w:tcPr/>
          <w:p w:rsidR="00000000" w:rsidDel="00000000" w:rsidP="00000000" w:rsidRDefault="00000000" w:rsidRPr="00000000" w14:paraId="00000033">
            <w:pPr>
              <w:jc w:val="both"/>
              <w:rPr>
                <w:i w:val="1"/>
                <w:color w:val="548dd4"/>
                <w:sz w:val="18"/>
                <w:szCs w:val="18"/>
              </w:rPr>
            </w:pPr>
            <w:r w:rsidDel="00000000" w:rsidR="00000000" w:rsidRPr="00000000">
              <w:rPr>
                <w:i w:val="1"/>
                <w:color w:val="548dd4"/>
                <w:sz w:val="18"/>
                <w:szCs w:val="18"/>
                <w:rtl w:val="0"/>
              </w:rPr>
              <w:t xml:space="preserve">Señala los ajustes o reformulaciones que has realizado. </w:t>
            </w:r>
          </w:p>
        </w:tc>
      </w:tr>
    </w:tbl>
    <w:p w:rsidR="00000000" w:rsidDel="00000000" w:rsidP="00000000" w:rsidRDefault="00000000" w:rsidRPr="00000000" w14:paraId="00000034">
      <w:pPr>
        <w:rPr>
          <w:color w:val="595959"/>
          <w:sz w:val="24"/>
          <w:szCs w:val="24"/>
        </w:rPr>
      </w:pPr>
      <w:r w:rsidDel="00000000" w:rsidR="00000000" w:rsidRPr="00000000">
        <w:rPr>
          <w:rtl w:val="0"/>
        </w:rPr>
      </w:r>
    </w:p>
    <w:tbl>
      <w:tblPr>
        <w:tblStyle w:val="Table4"/>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5">
            <w:pPr>
              <w:rPr>
                <w:b w:val="1"/>
                <w:color w:val="1f3864"/>
                <w:sz w:val="28"/>
                <w:szCs w:val="28"/>
              </w:rPr>
            </w:pPr>
            <w:r w:rsidDel="00000000" w:rsidR="00000000" w:rsidRPr="00000000">
              <w:rPr>
                <w:b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3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37">
      <w:pPr>
        <w:rPr>
          <w:color w:val="595959"/>
          <w:sz w:val="24"/>
          <w:szCs w:val="24"/>
        </w:rPr>
      </w:pPr>
      <w:r w:rsidDel="00000000" w:rsidR="00000000" w:rsidRPr="00000000">
        <w:rPr>
          <w:rtl w:val="0"/>
        </w:rPr>
      </w:r>
    </w:p>
    <w:tbl>
      <w:tblPr>
        <w:tblStyle w:val="Table5"/>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38">
            <w:pPr>
              <w:jc w:val="both"/>
              <w:rPr/>
            </w:pPr>
            <w:r w:rsidDel="00000000" w:rsidR="00000000" w:rsidRPr="00000000">
              <w:rPr>
                <w:b w:val="1"/>
                <w:rtl w:val="0"/>
              </w:rPr>
              <w:t xml:space="preserve">Facilitadores:</w:t>
            </w:r>
            <w:r w:rsidDel="00000000" w:rsidR="00000000" w:rsidRPr="00000000">
              <w:rPr>
                <w:rtl w:val="0"/>
              </w:rPr>
              <w:t xml:space="preserve"> La definición clara de la arquitectura de microservicios y el modelo de datos en la Fase 1 ha sido un facilitador clave, permitiendo al equipo de backend avanzar de forma independiente. La disponibilidad de servicios gestionados de AWS (Bedrock, TextTract) también facilitó la planificación de la integración de componentes de IA.</w:t>
            </w:r>
          </w:p>
          <w:p w:rsidR="00000000" w:rsidDel="00000000" w:rsidP="00000000" w:rsidRDefault="00000000" w:rsidRPr="00000000" w14:paraId="00000039">
            <w:pPr>
              <w:jc w:val="both"/>
              <w:rPr/>
            </w:pPr>
            <w:r w:rsidDel="00000000" w:rsidR="00000000" w:rsidRPr="00000000">
              <w:rPr>
                <w:b w:val="1"/>
                <w:rtl w:val="0"/>
              </w:rPr>
              <w:t xml:space="preserve">Dificultades:</w:t>
            </w:r>
            <w:r w:rsidDel="00000000" w:rsidR="00000000" w:rsidRPr="00000000">
              <w:rPr>
                <w:rtl w:val="0"/>
              </w:rPr>
              <w:t xml:space="preserve"> La principal dificultad fue la estimación del esfuerzo para el desarrollo de la aplicación móvil (descrita en el plan de trabajo como "Desarrollo Aplicación Móvil" ). Se identificó un retraso significativo en el desarrollo del frontend (reportado inicialmente como 1/10 en el avance), lo que puso en riesgo la entrega de valor en los plazos definidos.</w:t>
            </w:r>
          </w:p>
        </w:tc>
      </w:tr>
    </w:tbl>
    <w:p w:rsidR="00000000" w:rsidDel="00000000" w:rsidP="00000000" w:rsidRDefault="00000000" w:rsidRPr="00000000" w14:paraId="0000003A">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3B">
            <w:pPr>
              <w:jc w:val="both"/>
              <w:rPr/>
            </w:pPr>
            <w:r w:rsidDel="00000000" w:rsidR="00000000" w:rsidRPr="00000000">
              <w:rPr>
                <w:rtl w:val="0"/>
              </w:rPr>
              <w:t xml:space="preserve">A raíz de las dificultades en el desarrollo frontend, se tomó la decisión estratégica de eliminar la actividad "2.3. Desarrollo Aplicación Móvil" del alcance de este proyecto.</w:t>
            </w:r>
          </w:p>
          <w:p w:rsidR="00000000" w:rsidDel="00000000" w:rsidP="00000000" w:rsidRDefault="00000000" w:rsidRPr="00000000" w14:paraId="0000003C">
            <w:pPr>
              <w:jc w:val="both"/>
              <w:rPr/>
            </w:pPr>
            <w:r w:rsidDel="00000000" w:rsidR="00000000" w:rsidRPr="00000000">
              <w:rPr>
                <w:rtl w:val="0"/>
              </w:rPr>
              <w:t xml:space="preserve">Esta actividad fue ajustada y reemplazada por el requerimiento REQ-16: Interfaz Web Responsive (Mobile-First). Esta decisión permitió al equipo de frontend enfocar todos sus esfuerzos en una única plataforma (Next.js), acelerar el desarrollo y cumplir con los objetivos funcionales de negocio (consultar inventario, subir facturas) desde cualquier dispositivo a través del navegador, tal como se evidencia en la aplicación web funcional desplegada.</w:t>
            </w:r>
          </w:p>
        </w:tc>
      </w:tr>
    </w:tbl>
    <w:p w:rsidR="00000000" w:rsidDel="00000000" w:rsidP="00000000" w:rsidRDefault="00000000" w:rsidRPr="00000000" w14:paraId="0000003D">
      <w:pPr>
        <w:spacing w:after="0" w:line="240" w:lineRule="auto"/>
        <w:jc w:val="both"/>
        <w:rPr>
          <w:i w:val="1"/>
          <w:color w:val="548dd4"/>
          <w:sz w:val="20"/>
          <w:szCs w:val="20"/>
        </w:rPr>
      </w:pPr>
      <w:r w:rsidDel="00000000" w:rsidR="00000000" w:rsidRPr="00000000">
        <w:rPr>
          <w:rtl w:val="0"/>
        </w:rPr>
      </w:r>
    </w:p>
    <w:p w:rsidR="00000000" w:rsidDel="00000000" w:rsidP="00000000" w:rsidRDefault="00000000" w:rsidRPr="00000000" w14:paraId="0000003E">
      <w:pPr>
        <w:spacing w:after="0" w:line="240" w:lineRule="auto"/>
        <w:jc w:val="both"/>
        <w:rPr>
          <w:i w:val="1"/>
          <w:color w:val="548dd4"/>
          <w:sz w:val="20"/>
          <w:szCs w:val="20"/>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3F">
            <w:pPr>
              <w:jc w:val="both"/>
              <w:rPr/>
            </w:pPr>
            <w:r w:rsidDel="00000000" w:rsidR="00000000" w:rsidRPr="00000000">
              <w:rPr>
                <w:rtl w:val="0"/>
              </w:rPr>
              <w:t xml:space="preserve">Según el plan de trabajo y la lista de pendientes (imagen "Que nos falta por hacer"), las actividades relacionadas con el análisis de datos avanzado y la finalización de integraciones se encuentran retrasadas o pendientes de inicio:</w:t>
            </w:r>
          </w:p>
          <w:p w:rsidR="00000000" w:rsidDel="00000000" w:rsidP="00000000" w:rsidRDefault="00000000" w:rsidRPr="00000000" w14:paraId="00000040">
            <w:pPr>
              <w:numPr>
                <w:ilvl w:val="0"/>
                <w:numId w:val="2"/>
              </w:numPr>
              <w:ind w:left="720" w:hanging="360"/>
              <w:jc w:val="both"/>
              <w:rPr/>
            </w:pPr>
            <w:r w:rsidDel="00000000" w:rsidR="00000000" w:rsidRPr="00000000">
              <w:rPr>
                <w:b w:val="1"/>
                <w:rtl w:val="0"/>
              </w:rPr>
              <w:t xml:space="preserve">Modelo Predictivo (B) y Modelo Estrella (B):</w:t>
            </w:r>
            <w:r w:rsidDel="00000000" w:rsidR="00000000" w:rsidRPr="00000000">
              <w:rPr>
                <w:rtl w:val="0"/>
              </w:rPr>
              <w:t xml:space="preserve"> Estas tareas están pendientes y son cruciales para alimentar el dashboard analítico (REQ-07, REQ-09).</w:t>
            </w:r>
          </w:p>
          <w:p w:rsidR="00000000" w:rsidDel="00000000" w:rsidP="00000000" w:rsidRDefault="00000000" w:rsidRPr="00000000" w14:paraId="00000041">
            <w:pPr>
              <w:numPr>
                <w:ilvl w:val="0"/>
                <w:numId w:val="2"/>
              </w:numPr>
              <w:ind w:left="720" w:hanging="360"/>
              <w:jc w:val="both"/>
              <w:rPr/>
            </w:pPr>
            <w:r w:rsidDel="00000000" w:rsidR="00000000" w:rsidRPr="00000000">
              <w:rPr>
                <w:b w:val="1"/>
                <w:rtl w:val="0"/>
              </w:rPr>
              <w:t xml:space="preserve">ETL (B):</w:t>
            </w:r>
            <w:r w:rsidDel="00000000" w:rsidR="00000000" w:rsidRPr="00000000">
              <w:rPr>
                <w:rtl w:val="0"/>
              </w:rPr>
              <w:t xml:space="preserve"> El proceso de extracción, transformación y carga para poblar el modelo estrella (REQ-17) no se ha iniciado.</w:t>
            </w:r>
          </w:p>
          <w:p w:rsidR="00000000" w:rsidDel="00000000" w:rsidP="00000000" w:rsidRDefault="00000000" w:rsidRPr="00000000" w14:paraId="00000042">
            <w:pPr>
              <w:numPr>
                <w:ilvl w:val="0"/>
                <w:numId w:val="2"/>
              </w:numPr>
              <w:ind w:left="720" w:hanging="360"/>
              <w:jc w:val="both"/>
              <w:rPr/>
            </w:pPr>
            <w:r w:rsidDel="00000000" w:rsidR="00000000" w:rsidRPr="00000000">
              <w:rPr>
                <w:b w:val="1"/>
                <w:rtl w:val="0"/>
              </w:rPr>
              <w:t xml:space="preserve">Integración de APIs:</w:t>
            </w:r>
            <w:r w:rsidDel="00000000" w:rsidR="00000000" w:rsidRPr="00000000">
              <w:rPr>
                <w:rtl w:val="0"/>
              </w:rPr>
              <w:t xml:space="preserve"> Las tareas "Consumir API (F)" e "Integra Apis" (REQ-10) están pendientes.</w:t>
            </w:r>
          </w:p>
          <w:p w:rsidR="00000000" w:rsidDel="00000000" w:rsidP="00000000" w:rsidRDefault="00000000" w:rsidRPr="00000000" w14:paraId="00000043">
            <w:pPr>
              <w:numPr>
                <w:ilvl w:val="0"/>
                <w:numId w:val="2"/>
              </w:numPr>
              <w:ind w:left="720" w:hanging="360"/>
              <w:jc w:val="both"/>
              <w:rPr/>
            </w:pPr>
            <w:r w:rsidDel="00000000" w:rsidR="00000000" w:rsidRPr="00000000">
              <w:rPr>
                <w:b w:val="1"/>
                <w:rtl w:val="0"/>
              </w:rPr>
              <w:t xml:space="preserve">Funcionalidad del Chatbot:</w:t>
            </w:r>
            <w:r w:rsidDel="00000000" w:rsidR="00000000" w:rsidRPr="00000000">
              <w:rPr>
                <w:rtl w:val="0"/>
              </w:rPr>
              <w:t xml:space="preserve"> Aunque la infraestructura de Bedrock está disponible, la integración final en el frontend (REQ-08) no se ha completado.</w:t>
            </w:r>
          </w:p>
          <w:p w:rsidR="00000000" w:rsidDel="00000000" w:rsidP="00000000" w:rsidRDefault="00000000" w:rsidRPr="00000000" w14:paraId="00000044">
            <w:pPr>
              <w:numPr>
                <w:ilvl w:val="0"/>
                <w:numId w:val="2"/>
              </w:numPr>
              <w:ind w:left="720" w:hanging="360"/>
              <w:jc w:val="both"/>
              <w:rPr/>
            </w:pPr>
            <w:r w:rsidDel="00000000" w:rsidR="00000000" w:rsidRPr="00000000">
              <w:rPr>
                <w:b w:val="1"/>
                <w:rtl w:val="0"/>
              </w:rPr>
              <w:t xml:space="preserve">Funcionalidad del Dashboard:</w:t>
            </w:r>
            <w:r w:rsidDel="00000000" w:rsidR="00000000" w:rsidRPr="00000000">
              <w:rPr>
                <w:rtl w:val="0"/>
              </w:rPr>
              <w:t xml:space="preserve"> La interfaz del dashboard está creada, pero la conexión a los datos (Modelo Estrella) está pendiente.</w:t>
            </w:r>
          </w:p>
          <w:p w:rsidR="00000000" w:rsidDel="00000000" w:rsidP="00000000" w:rsidRDefault="00000000" w:rsidRPr="00000000" w14:paraId="00000045">
            <w:pPr>
              <w:jc w:val="both"/>
              <w:rPr/>
            </w:pPr>
            <w:r w:rsidDel="00000000" w:rsidR="00000000" w:rsidRPr="00000000">
              <w:rPr>
                <w:rtl w:val="0"/>
              </w:rPr>
              <w:t xml:space="preserve">La estrategia para avanzar es finalizar la ingesta de datos (ETL) para desbloquear el desarrollo del dashboard y los modelos predictivos.</w:t>
            </w:r>
          </w:p>
        </w:tc>
      </w:tr>
    </w:tbl>
    <w:p w:rsidR="00000000" w:rsidDel="00000000" w:rsidP="00000000" w:rsidRDefault="00000000" w:rsidRPr="00000000" w14:paraId="00000046">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0" w:line="240" w:lineRule="auto"/>
        <w:rPr>
          <w:color w:val="595959"/>
          <w:sz w:val="20"/>
          <w:szCs w:val="20"/>
        </w:rPr>
      </w:pPr>
      <w:r w:rsidDel="00000000" w:rsidR="00000000" w:rsidRPr="00000000">
        <w:rPr>
          <w:rStyle w:val="FootnoteReference"/>
          <w:vertAlign w:val="superscript"/>
        </w:rPr>
        <w:footnoteRef/>
      </w:r>
      <w:r w:rsidDel="00000000" w:rsidR="00000000" w:rsidRPr="00000000">
        <w:rPr>
          <w:color w:val="595959"/>
          <w:sz w:val="20"/>
          <w:szCs w:val="20"/>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widowControl w:val="0"/>
      <w:pBdr>
        <w:top w:space="0" w:sz="0" w:val="nil"/>
        <w:left w:space="0" w:sz="0" w:val="nil"/>
        <w:bottom w:space="0" w:sz="0" w:val="nil"/>
        <w:right w:space="0" w:sz="0" w:val="nil"/>
        <w:between w:space="0" w:sz="0" w:val="nil"/>
      </w:pBdr>
      <w:spacing w:after="0" w:line="276" w:lineRule="auto"/>
      <w:rPr>
        <w:color w:val="595959"/>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-1598294</wp:posOffset>
              </wp:positionH>
              <wp:positionV relativeFrom="paragraph">
                <wp:posOffset>-434339</wp:posOffset>
              </wp:positionV>
              <wp:extent cx="6589370" cy="1592580"/>
              <wp:effectExtent b="0" l="0" r="0" t="0"/>
              <wp:wrapNone/>
              <wp:docPr id="1753140949" name=""/>
              <a:graphic>
                <a:graphicData uri="http://schemas.microsoft.com/office/word/2010/wordprocessingGroup">
                  <wpg:wgp>
                    <wpg:cNvGrpSpPr/>
                    <wpg:grpSpPr>
                      <a:xfrm>
                        <a:off x="2051300" y="2983700"/>
                        <a:ext cx="6589370" cy="1592580"/>
                        <a:chOff x="2051300" y="2983700"/>
                        <a:chExt cx="6589400" cy="1592600"/>
                      </a:xfrm>
                    </wpg:grpSpPr>
                    <wpg:grpSp>
                      <wpg:cNvGrpSpPr/>
                      <wpg:grpSpPr>
                        <a:xfrm>
                          <a:off x="2051315" y="2983710"/>
                          <a:ext cx="6589370" cy="1592580"/>
                          <a:chOff x="-336608" y="-30480"/>
                          <a:chExt cx="6327833" cy="1592580"/>
                        </a:xfrm>
                      </wpg:grpSpPr>
                      <wps:wsp>
                        <wps:cNvSpPr/>
                        <wps:cNvPr id="3" name="Shape 3"/>
                        <wps:spPr>
                          <a:xfrm>
                            <a:off x="-336608" y="-30480"/>
                            <a:ext cx="6327825" cy="1592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336608" y="-3048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-1598294</wp:posOffset>
              </wp:positionH>
              <wp:positionV relativeFrom="paragraph">
                <wp:posOffset>-434339</wp:posOffset>
              </wp:positionV>
              <wp:extent cx="6589370" cy="1592580"/>
              <wp:effectExtent b="0" l="0" r="0" t="0"/>
              <wp:wrapNone/>
              <wp:docPr id="1753140949"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6589370" cy="1592580"/>
                      </a:xfrm>
                      <a:prstGeom prst="rect"/>
                      <a:ln/>
                    </pic:spPr>
                  </pic:pic>
                </a:graphicData>
              </a:graphic>
            </wp:anchor>
          </w:drawing>
        </mc:Fallback>
      </mc:AlternateContent>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Desarrollo Proyecto APT </w:t>
          </w:r>
        </w:p>
        <w:p w:rsidR="00000000" w:rsidDel="00000000" w:rsidP="00000000" w:rsidRDefault="00000000" w:rsidRPr="00000000" w14:paraId="0000004A">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jc w:val="center"/>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3140950"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2"/>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MX"/>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color w:val="1f3863"/>
      <w:sz w:val="24"/>
      <w:szCs w:val="24"/>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character" w:styleId="Ttulo3Car" w:customStyle="1">
    <w:name w:val="Título 3 Car"/>
    <w:basedOn w:val="Fuentedeprrafopredeter"/>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table" w:styleId="a" w:customStyle="1">
    <w:basedOn w:val="TableNormal"/>
    <w:tblPr>
      <w:tblStyleRowBandSize w:val="1"/>
      <w:tblStyleColBandSize w:val="1"/>
      <w:tblCellMar>
        <w:top w:w="0.0" w:type="dxa"/>
        <w:left w:w="108.0" w:type="dxa"/>
        <w:bottom w:w="0.0" w:type="dxa"/>
        <w:right w:w="108.0" w:type="dxa"/>
      </w:tblCellMar>
    </w:tblPr>
  </w:style>
  <w:style w:type="table" w:styleId="a0" w:customStyle="1">
    <w:basedOn w:val="TableNormal"/>
    <w:tblPr>
      <w:tblStyleRowBandSize w:val="1"/>
      <w:tblStyleColBandSize w:val="1"/>
      <w:tblCellMar>
        <w:top w:w="0.0" w:type="dxa"/>
        <w:left w:w="108.0" w:type="dxa"/>
        <w:bottom w:w="0.0" w:type="dxa"/>
        <w:right w:w="108.0" w:type="dxa"/>
      </w:tblCellMar>
    </w:tblPr>
  </w:style>
  <w:style w:type="table" w:styleId="a1" w:customStyle="1">
    <w:basedOn w:val="TableNormal"/>
    <w:tblPr>
      <w:tblStyleRowBandSize w:val="1"/>
      <w:tblStyleColBandSize w:val="1"/>
      <w:tblCellMar>
        <w:top w:w="0.0" w:type="dxa"/>
        <w:left w:w="108.0" w:type="dxa"/>
        <w:bottom w:w="0.0" w:type="dxa"/>
        <w:right w:w="108.0" w:type="dxa"/>
      </w:tblCellMar>
    </w:tblPr>
  </w:style>
  <w:style w:type="table" w:styleId="a2" w:customStyle="1">
    <w:basedOn w:val="TableNormal"/>
    <w:tblPr>
      <w:tblStyleRowBandSize w:val="1"/>
      <w:tblStyleColBandSize w:val="1"/>
      <w:tblCellMar>
        <w:top w:w="0.0" w:type="dxa"/>
        <w:left w:w="108.0" w:type="dxa"/>
        <w:bottom w:w="0.0" w:type="dxa"/>
        <w:right w:w="108.0" w:type="dxa"/>
      </w:tblCellMar>
    </w:tblPr>
  </w:style>
  <w:style w:type="table" w:styleId="a3" w:customStyle="1">
    <w:basedOn w:val="TableNormal"/>
    <w:tblPr>
      <w:tblStyleRowBandSize w:val="1"/>
      <w:tblStyleColBandSize w:val="1"/>
      <w:tblCellMar>
        <w:top w:w="0.0" w:type="dxa"/>
        <w:left w:w="108.0" w:type="dxa"/>
        <w:bottom w:w="0.0" w:type="dxa"/>
        <w:right w:w="108.0" w:type="dxa"/>
      </w:tblCellMar>
    </w:tblPr>
  </w:style>
  <w:style w:type="table" w:styleId="a4" w:customStyle="1">
    <w:basedOn w:val="TableNormal"/>
    <w:tblPr>
      <w:tblStyleRowBandSize w:val="1"/>
      <w:tblStyleColBandSize w:val="1"/>
      <w:tblCellMar>
        <w:top w:w="0.0" w:type="dxa"/>
        <w:left w:w="108.0" w:type="dxa"/>
        <w:bottom w:w="0.0" w:type="dxa"/>
        <w:right w:w="108.0" w:type="dxa"/>
      </w:tblCellMar>
    </w:tblPr>
  </w:style>
  <w:style w:type="table" w:styleId="a5" w:customStyle="1">
    <w:basedOn w:val="TableNormal"/>
    <w:tblPr>
      <w:tblStyleRowBandSize w:val="1"/>
      <w:tblStyleColBandSize w:val="1"/>
      <w:tblCellMar>
        <w:top w:w="0.0" w:type="dxa"/>
        <w:left w:w="108.0" w:type="dxa"/>
        <w:bottom w:w="0.0" w:type="dxa"/>
        <w:right w:w="108.0" w:type="dxa"/>
      </w:tblCellMar>
    </w:tblPr>
  </w:style>
  <w:style w:type="table" w:styleId="a6" w:customStyle="1">
    <w:basedOn w:val="TableNormal"/>
    <w:tblPr>
      <w:tblStyleRowBandSize w:val="1"/>
      <w:tblStyleColBandSize w:val="1"/>
      <w:tblCellMar>
        <w:top w:w="0.0" w:type="dxa"/>
        <w:left w:w="108.0" w:type="dxa"/>
        <w:bottom w:w="0.0" w:type="dxa"/>
        <w:right w:w="108.0" w:type="dxa"/>
      </w:tblCellMar>
    </w:tblPr>
  </w:style>
  <w:style w:type="character" w:styleId="Hipervnculo">
    <w:name w:val="Hyperlink"/>
    <w:basedOn w:val="Fuentedeprrafopredeter"/>
    <w:uiPriority w:val="99"/>
    <w:unhideWhenUsed w:val="1"/>
    <w:rsid w:val="00595CA9"/>
    <w:rPr>
      <w:color w:val="0563c1" w:themeColor="hyperlink"/>
      <w:u w:val="single"/>
    </w:rPr>
  </w:style>
  <w:style w:type="character" w:styleId="Mencinsinresolver">
    <w:name w:val="Unresolved Mention"/>
    <w:basedOn w:val="Fuentedeprrafopredeter"/>
    <w:uiPriority w:val="99"/>
    <w:semiHidden w:val="1"/>
    <w:unhideWhenUsed w:val="1"/>
    <w:rsid w:val="00595CA9"/>
    <w:rPr>
      <w:color w:val="605e5c"/>
      <w:shd w:color="auto" w:fill="e1dfdd" w:val="clear"/>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yperlink" Target="https://d9ll783ij6lm4.cloudfront.ne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RobotoMono-italic.ttf"/><Relationship Id="rId6" Type="http://schemas.openxmlformats.org/officeDocument/2006/relationships/font" Target="fonts/RobotoMono-boldItalic.ttf"/><Relationship Id="rId7" Type="http://schemas.openxmlformats.org/officeDocument/2006/relationships/font" Target="fonts/CenturyGothic-regular.ttf"/><Relationship Id="rId8" Type="http://schemas.openxmlformats.org/officeDocument/2006/relationships/font" Target="fonts/CenturyGothic-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btRBHMg3Rc9UNUzV00i1Tbad9Q==">CgMxLjA4AHIhMUV1Y1ZqRm54X1pNWWhsLTBsYW5iWFkyb1BxQlNpempI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