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560" w:after="160"/>
        <w:jc w:val="center"/>
      </w:pPr>
      <w:r>
        <w:rPr>
          <w:rFonts w:ascii="Noto Sans CJK JP" w:hAnsi="Noto Sans CJK JP" w:eastAsia="Noto Sans CJK JP"/>
          <w:b/>
          <w:sz w:val="40"/>
        </w:rPr>
        <w:t>lumiqbarin 共通連携理解資料</w:t>
      </w:r>
    </w:p>
    <w:p>
      <w:pPr>
        <w:jc w:val="center"/>
      </w:pPr>
      <w:r>
        <w:rPr>
          <w:rFonts w:ascii="Noto Sans CJK JP" w:hAnsi="Noto Sans CJK JP" w:eastAsia="Noto Sans CJK JP"/>
          <w:b w:val="0"/>
          <w:color w:val="5F5F5F"/>
          <w:sz w:val="21"/>
        </w:rPr>
        <w:t>各サービスの思想、役割、連携、保有データ、わかることを横断で共有するための共通ドキュメント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EAF2F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目的: 各サービス担当者が自サービスだけでなく、他サービスの役割とデータ構造を理解し、lumiqbarin 全体で同じ設計思想を共有する。</w:t>
            </w:r>
          </w:p>
        </w:tc>
      </w:tr>
      <w:tr>
        <w:tc>
          <w:tcPr>
            <w:tcW w:type="dxa" w:w="10086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中心思想: 人そのものを評価するのではなく、人が生む関係・行動・成果・信頼・継続・温度感を可視化する。</w:t>
            </w:r>
          </w:p>
        </w:tc>
      </w:tr>
      <w:tr>
        <w:tc>
          <w:tcPr>
            <w:tcW w:type="dxa" w:w="10086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活用意図: データ設計、API設計、ETL設計、スコア設計、ダッシュボード設計の前提を各サービス横断で揃える。</w:t>
            </w:r>
          </w:p>
        </w:tc>
      </w:tr>
    </w:tbl>
    <w:p/>
    <w:p>
      <w:pPr>
        <w:pStyle w:val="Heading1"/>
        <w:spacing w:before="200" w:after="120"/>
      </w:pPr>
      <w:r>
        <w:rPr>
          <w:rFonts w:ascii="Noto Sans CJK JP" w:hAnsi="Noto Sans CJK JP" w:eastAsia="Noto Sans CJK JP"/>
          <w:b/>
          <w:color w:val="1F497D"/>
          <w:sz w:val="28"/>
        </w:rPr>
        <w:t>1. この資料の位置づけ</w:t>
      </w:r>
    </w:p>
    <w:p>
      <w:pPr>
        <w:spacing w:after="120" w:line="293" w:lineRule="auto"/>
      </w:pPr>
      <w:r>
        <w:rPr>
          <w:rFonts w:ascii="Noto Sans CJK JP" w:hAnsi="Noto Sans CJK JP" w:eastAsia="Noto Sans CJK JP"/>
          <w:b w:val="0"/>
          <w:sz w:val="21"/>
        </w:rPr>
        <w:t>本資料は、ESCMS、LeadHive、CommitRev、Telluu、Megruu を lumiqbarin 上で統合的に扱うための共通理解資料です。個別の仕様書ではなく、全体思想と連携前提を揃えることを目的にしています。</w:t>
      </w:r>
    </w:p>
    <w:p>
      <w:pPr>
        <w:pStyle w:val="ListBullet"/>
        <w:spacing w:after="40" w:line="276" w:lineRule="auto"/>
      </w:pPr>
      <w:r>
        <w:rPr>
          <w:rFonts w:ascii="Noto Sans CJK JP" w:hAnsi="Noto Sans CJK JP" w:eastAsia="Noto Sans CJK JP"/>
          <w:b w:val="0"/>
          <w:sz w:val="21"/>
        </w:rPr>
        <w:t>各サービスが何を担うかを明確にする</w:t>
      </w:r>
    </w:p>
    <w:p>
      <w:pPr>
        <w:pStyle w:val="ListBullet"/>
        <w:spacing w:after="40" w:line="276" w:lineRule="auto"/>
      </w:pPr>
      <w:r>
        <w:rPr>
          <w:rFonts w:ascii="Noto Sans CJK JP" w:hAnsi="Noto Sans CJK JP" w:eastAsia="Noto Sans CJK JP"/>
          <w:b w:val="0"/>
          <w:sz w:val="21"/>
        </w:rPr>
        <w:t>各サービスがどのようなデータを保有し、何がわかるかを共有する</w:t>
      </w:r>
    </w:p>
    <w:p>
      <w:pPr>
        <w:pStyle w:val="ListBullet"/>
        <w:spacing w:after="40" w:line="276" w:lineRule="auto"/>
      </w:pPr>
      <w:r>
        <w:rPr>
          <w:rFonts w:ascii="Noto Sans CJK JP" w:hAnsi="Noto Sans CJK JP" w:eastAsia="Noto Sans CJK JP"/>
          <w:b w:val="0"/>
          <w:sz w:val="21"/>
        </w:rPr>
        <w:t>自サービス以外のデータ価値を理解し、連携設計でズレを減らす</w:t>
      </w:r>
    </w:p>
    <w:p>
      <w:pPr>
        <w:pStyle w:val="ListBullet"/>
        <w:spacing w:after="40" w:line="276" w:lineRule="auto"/>
      </w:pPr>
      <w:r>
        <w:rPr>
          <w:rFonts w:ascii="Noto Sans CJK JP" w:hAnsi="Noto Sans CJK JP" w:eastAsia="Noto Sans CJK JP"/>
          <w:b w:val="0"/>
          <w:sz w:val="21"/>
        </w:rPr>
        <w:t>lumiqbarin における共通データ構造とスコア思想を共有する</w:t>
      </w:r>
    </w:p>
    <w:p>
      <w:pPr>
        <w:pStyle w:val="Heading1"/>
        <w:spacing w:before="200" w:after="120"/>
      </w:pPr>
      <w:r>
        <w:rPr>
          <w:rFonts w:ascii="Noto Sans CJK JP" w:hAnsi="Noto Sans CJK JP" w:eastAsia="Noto Sans CJK JP"/>
          <w:b/>
          <w:color w:val="1F497D"/>
          <w:sz w:val="28"/>
        </w:rPr>
        <w:t>2. lumiqbarin の中心思想</w:t>
      </w:r>
    </w:p>
    <w:p>
      <w:pPr>
        <w:spacing w:after="120" w:line="293" w:lineRule="auto"/>
      </w:pPr>
      <w:r>
        <w:rPr>
          <w:rFonts w:ascii="Noto Sans CJK JP" w:hAnsi="Noto Sans CJK JP" w:eastAsia="Noto Sans CJK JP"/>
          <w:b w:val="0"/>
          <w:sz w:val="21"/>
        </w:rPr>
        <w:t>lumiqbarin はデータを単純集計する基盤ではありません。売上の裏にある人の関与、紹介、来店、送客、継続、信頼、温度感を可視化する統合頭脳として設計しています。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tblHeader w:val="true"/>
        </w:trPr>
        <w:tc>
          <w:tcPr>
            <w:tcW w:type="dxa" w:w="13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CE6F1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JP" w:hAnsi="Noto Sans CJK JP" w:eastAsia="Noto Sans CJK JP"/>
                <w:b/>
                <w:sz w:val="18"/>
              </w:rPr>
              <w:t>観点</w:t>
            </w:r>
          </w:p>
        </w:tc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CE6F1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JP" w:hAnsi="Noto Sans CJK JP" w:eastAsia="Noto Sans CJK JP"/>
                <w:b/>
                <w:sz w:val="18"/>
              </w:rPr>
              <w:t>意味</w:t>
            </w:r>
          </w:p>
        </w:tc>
        <w:tc>
          <w:tcPr>
            <w:tcW w:type="dxa" w:w="470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CE6F1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JP" w:hAnsi="Noto Sans CJK JP" w:eastAsia="Noto Sans CJK JP"/>
                <w:b/>
                <w:sz w:val="18"/>
              </w:rPr>
              <w:t>例</w:t>
            </w:r>
          </w:p>
        </w:tc>
      </w:tr>
      <w:tr>
        <w:tc>
          <w:tcPr>
            <w:tcW w:type="dxa" w:w="13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JP" w:hAnsi="Noto Sans CJK JP" w:eastAsia="Noto Sans CJK JP"/>
                <w:b w:val="0"/>
                <w:sz w:val="18"/>
              </w:rPr>
              <w:t>主体</w:t>
            </w:r>
          </w:p>
        </w:tc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18"/>
              </w:rPr>
              <w:t>誰が存在するか</w:t>
            </w:r>
          </w:p>
        </w:tc>
        <w:tc>
          <w:tcPr>
            <w:tcW w:type="dxa" w:w="470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18"/>
              </w:rPr>
              <w:t>顧客、企業、パートナー、店舗、スタッフ</w:t>
            </w:r>
          </w:p>
        </w:tc>
      </w:tr>
      <w:tr>
        <w:tc>
          <w:tcPr>
            <w:tcW w:type="dxa" w:w="13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JP" w:hAnsi="Noto Sans CJK JP" w:eastAsia="Noto Sans CJK JP"/>
                <w:b w:val="0"/>
                <w:sz w:val="18"/>
              </w:rPr>
              <w:t>関係</w:t>
            </w:r>
          </w:p>
        </w:tc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18"/>
              </w:rPr>
              <w:t>誰と誰がつながっているか</w:t>
            </w:r>
          </w:p>
        </w:tc>
        <w:tc>
          <w:tcPr>
            <w:tcW w:type="dxa" w:w="470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18"/>
              </w:rPr>
              <w:t>紹介者→来店者、店舗A→店舗B、企業→営業担当</w:t>
            </w:r>
          </w:p>
        </w:tc>
      </w:tr>
      <w:tr>
        <w:tc>
          <w:tcPr>
            <w:tcW w:type="dxa" w:w="13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JP" w:hAnsi="Noto Sans CJK JP" w:eastAsia="Noto Sans CJK JP"/>
                <w:b w:val="0"/>
                <w:sz w:val="18"/>
              </w:rPr>
              <w:t>行動</w:t>
            </w:r>
          </w:p>
        </w:tc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18"/>
              </w:rPr>
              <w:t>何をしたか</w:t>
            </w:r>
          </w:p>
        </w:tc>
        <w:tc>
          <w:tcPr>
            <w:tcW w:type="dxa" w:w="470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18"/>
              </w:rPr>
              <w:t>購入、クリック、紹介、来店、送客、接触</w:t>
            </w:r>
          </w:p>
        </w:tc>
      </w:tr>
      <w:tr>
        <w:tc>
          <w:tcPr>
            <w:tcW w:type="dxa" w:w="13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JP" w:hAnsi="Noto Sans CJK JP" w:eastAsia="Noto Sans CJK JP"/>
                <w:b w:val="0"/>
                <w:sz w:val="18"/>
              </w:rPr>
              <w:t>成果</w:t>
            </w:r>
          </w:p>
        </w:tc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18"/>
              </w:rPr>
              <w:t>何が起きたか</w:t>
            </w:r>
          </w:p>
        </w:tc>
        <w:tc>
          <w:tcPr>
            <w:tcW w:type="dxa" w:w="470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18"/>
              </w:rPr>
              <w:t>成約、来店承認、契約更新、送客確認</w:t>
            </w:r>
          </w:p>
        </w:tc>
      </w:tr>
      <w:tr>
        <w:tc>
          <w:tcPr>
            <w:tcW w:type="dxa" w:w="13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JP" w:hAnsi="Noto Sans CJK JP" w:eastAsia="Noto Sans CJK JP"/>
                <w:b w:val="0"/>
                <w:sz w:val="18"/>
              </w:rPr>
              <w:t>価値</w:t>
            </w:r>
          </w:p>
        </w:tc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18"/>
              </w:rPr>
              <w:t>どれだけ成果価値が出たか</w:t>
            </w:r>
          </w:p>
        </w:tc>
        <w:tc>
          <w:tcPr>
            <w:tcW w:type="dxa" w:w="470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18"/>
              </w:rPr>
              <w:t>売上、LTV、報酬、回遊価値</w:t>
            </w:r>
          </w:p>
        </w:tc>
      </w:tr>
      <w:tr>
        <w:tc>
          <w:tcPr>
            <w:tcW w:type="dxa" w:w="13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JP" w:hAnsi="Noto Sans CJK JP" w:eastAsia="Noto Sans CJK JP"/>
                <w:b w:val="0"/>
                <w:sz w:val="18"/>
              </w:rPr>
              <w:t>品質</w:t>
            </w:r>
          </w:p>
        </w:tc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18"/>
              </w:rPr>
              <w:t>どれだけ健全か</w:t>
            </w:r>
          </w:p>
        </w:tc>
        <w:tc>
          <w:tcPr>
            <w:tcW w:type="dxa" w:w="470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18"/>
              </w:rPr>
              <w:t>承認率、確認率、不正リスク、返金率</w:t>
            </w:r>
          </w:p>
        </w:tc>
      </w:tr>
      <w:tr>
        <w:tc>
          <w:tcPr>
            <w:tcW w:type="dxa" w:w="13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JP" w:hAnsi="Noto Sans CJK JP" w:eastAsia="Noto Sans CJK JP"/>
                <w:b w:val="0"/>
                <w:sz w:val="18"/>
              </w:rPr>
              <w:t>継続</w:t>
            </w:r>
          </w:p>
        </w:tc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18"/>
              </w:rPr>
              <w:t>どれだけ続いているか</w:t>
            </w:r>
          </w:p>
        </w:tc>
        <w:tc>
          <w:tcPr>
            <w:tcW w:type="dxa" w:w="470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18"/>
              </w:rPr>
              <w:t>再購入、再来店、更新、継続月数</w:t>
            </w:r>
          </w:p>
        </w:tc>
      </w:tr>
      <w:tr>
        <w:tc>
          <w:tcPr>
            <w:tcW w:type="dxa" w:w="13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JP" w:hAnsi="Noto Sans CJK JP" w:eastAsia="Noto Sans CJK JP"/>
                <w:b w:val="0"/>
                <w:sz w:val="18"/>
              </w:rPr>
              <w:t>兆候</w:t>
            </w:r>
          </w:p>
        </w:tc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18"/>
              </w:rPr>
              <w:t>これからどうなりそうか</w:t>
            </w:r>
          </w:p>
        </w:tc>
        <w:tc>
          <w:tcPr>
            <w:tcW w:type="dxa" w:w="470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18"/>
              </w:rPr>
              <w:t>離脱兆候、商機、不均衡、異常</w:t>
            </w:r>
          </w:p>
        </w:tc>
      </w:tr>
    </w:tbl>
    <w:p/>
    <w:p>
      <w:pPr>
        <w:pStyle w:val="Heading1"/>
        <w:spacing w:before="200" w:after="120"/>
      </w:pPr>
      <w:r>
        <w:rPr>
          <w:rFonts w:ascii="Noto Sans CJK JP" w:hAnsi="Noto Sans CJK JP" w:eastAsia="Noto Sans CJK JP"/>
          <w:b/>
          <w:color w:val="1F497D"/>
          <w:sz w:val="28"/>
        </w:rPr>
        <w:t>3. 各サービスの役割の違い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tblHeader w:val="true"/>
        </w:trPr>
        <w:tc>
          <w:tcPr>
            <w:tcW w:type="dxa" w:w="147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CE6F1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JP" w:hAnsi="Noto Sans CJK JP" w:eastAsia="Noto Sans CJK JP"/>
                <w:b/>
                <w:sz w:val="18"/>
              </w:rPr>
              <w:t>サービス</w:t>
            </w:r>
          </w:p>
        </w:tc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CE6F1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JP" w:hAnsi="Noto Sans CJK JP" w:eastAsia="Noto Sans CJK JP"/>
                <w:b/>
                <w:sz w:val="18"/>
              </w:rPr>
              <w:t>主な役割</w:t>
            </w:r>
          </w:p>
        </w:tc>
        <w:tc>
          <w:tcPr>
            <w:tcW w:type="dxa" w:w="39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CE6F1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JP" w:hAnsi="Noto Sans CJK JP" w:eastAsia="Noto Sans CJK JP"/>
                <w:b/>
                <w:sz w:val="18"/>
              </w:rPr>
              <w:t>特に強い可視化</w:t>
            </w:r>
          </w:p>
        </w:tc>
      </w:tr>
      <w:tr>
        <w:tc>
          <w:tcPr>
            <w:tcW w:type="dxa" w:w="147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JP" w:hAnsi="Noto Sans CJK JP" w:eastAsia="Noto Sans CJK JP"/>
                <w:b w:val="0"/>
                <w:sz w:val="18"/>
              </w:rPr>
              <w:t>ESCMS</w:t>
            </w:r>
          </w:p>
        </w:tc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18"/>
              </w:rPr>
              <w:t>顧客購買と継続価値の把握</w:t>
            </w:r>
          </w:p>
        </w:tc>
        <w:tc>
          <w:tcPr>
            <w:tcW w:type="dxa" w:w="39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18"/>
              </w:rPr>
              <w:t>価値、継続、離脱兆候</w:t>
            </w:r>
          </w:p>
        </w:tc>
      </w:tr>
      <w:tr>
        <w:tc>
          <w:tcPr>
            <w:tcW w:type="dxa" w:w="147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JP" w:hAnsi="Noto Sans CJK JP" w:eastAsia="Noto Sans CJK JP"/>
                <w:b w:val="0"/>
                <w:sz w:val="18"/>
              </w:rPr>
              <w:t>LeadHive</w:t>
            </w:r>
          </w:p>
        </w:tc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18"/>
              </w:rPr>
              <w:t>企業属性と営業温度感の把握</w:t>
            </w:r>
          </w:p>
        </w:tc>
        <w:tc>
          <w:tcPr>
            <w:tcW w:type="dxa" w:w="39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18"/>
              </w:rPr>
              <w:t>温度感、提案適性、デジタル成熟度</w:t>
            </w:r>
          </w:p>
        </w:tc>
      </w:tr>
      <w:tr>
        <w:tc>
          <w:tcPr>
            <w:tcW w:type="dxa" w:w="147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JP" w:hAnsi="Noto Sans CJK JP" w:eastAsia="Noto Sans CJK JP"/>
                <w:b w:val="0"/>
                <w:sz w:val="18"/>
              </w:rPr>
              <w:t>CommitRev</w:t>
            </w:r>
          </w:p>
        </w:tc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18"/>
              </w:rPr>
              <w:t>紹介成果とパートナー品質の把握</w:t>
            </w:r>
          </w:p>
        </w:tc>
        <w:tc>
          <w:tcPr>
            <w:tcW w:type="dxa" w:w="39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18"/>
              </w:rPr>
              <w:t>波及、価値、信頼</w:t>
            </w:r>
          </w:p>
        </w:tc>
      </w:tr>
      <w:tr>
        <w:tc>
          <w:tcPr>
            <w:tcW w:type="dxa" w:w="147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JP" w:hAnsi="Noto Sans CJK JP" w:eastAsia="Noto Sans CJK JP"/>
                <w:b w:val="0"/>
                <w:sz w:val="18"/>
              </w:rPr>
              <w:t>Telluu</w:t>
            </w:r>
          </w:p>
        </w:tc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18"/>
              </w:rPr>
              <w:t>人脈波及とリアル接点の把握</w:t>
            </w:r>
          </w:p>
        </w:tc>
        <w:tc>
          <w:tcPr>
            <w:tcW w:type="dxa" w:w="39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18"/>
              </w:rPr>
              <w:t>関与、波及、継続、信頼</w:t>
            </w:r>
          </w:p>
        </w:tc>
      </w:tr>
      <w:tr>
        <w:tc>
          <w:tcPr>
            <w:tcW w:type="dxa" w:w="147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JP" w:hAnsi="Noto Sans CJK JP" w:eastAsia="Noto Sans CJK JP"/>
                <w:b w:val="0"/>
                <w:sz w:val="18"/>
              </w:rPr>
              <w:t>Megruu</w:t>
            </w:r>
          </w:p>
        </w:tc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18"/>
              </w:rPr>
              <w:t>店舗間ネットワークの健全性把握</w:t>
            </w:r>
          </w:p>
        </w:tc>
        <w:tc>
          <w:tcPr>
            <w:tcW w:type="dxa" w:w="39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18"/>
              </w:rPr>
              <w:t>信頼、双方向性、循環、継続</w:t>
            </w:r>
          </w:p>
        </w:tc>
      </w:tr>
    </w:tbl>
    <w:p/>
    <w:p>
      <w:pPr>
        <w:pStyle w:val="Heading1"/>
        <w:spacing w:before="200" w:after="120"/>
      </w:pPr>
      <w:r>
        <w:rPr>
          <w:rFonts w:ascii="Noto Sans CJK JP" w:hAnsi="Noto Sans CJK JP" w:eastAsia="Noto Sans CJK JP"/>
          <w:b/>
          <w:color w:val="1F497D"/>
          <w:sz w:val="28"/>
        </w:rPr>
        <w:t>4. 各サービスが持つデータと、そこから何がわかるか</w:t>
      </w:r>
    </w:p>
    <w:p>
      <w:pPr>
        <w:pStyle w:val="Heading2"/>
        <w:spacing w:before="120" w:after="120"/>
      </w:pPr>
      <w:r>
        <w:rPr>
          <w:rFonts w:ascii="Noto Sans CJK JP" w:hAnsi="Noto Sans CJK JP" w:eastAsia="Noto Sans CJK JP"/>
          <w:b/>
          <w:sz w:val="24"/>
        </w:rPr>
        <w:t>4-1. ESCMS</w:t>
      </w:r>
    </w:p>
    <w:p>
      <w:pPr>
        <w:spacing w:after="120" w:line="293" w:lineRule="auto"/>
      </w:pPr>
      <w:r>
        <w:rPr>
          <w:rFonts w:ascii="Noto Sans CJK JP" w:hAnsi="Noto Sans CJK JP" w:eastAsia="Noto Sans CJK JP"/>
          <w:b/>
          <w:sz w:val="21"/>
        </w:rPr>
        <w:t>役割: EC・購買管理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rPr>
          <w:tblHeader w:val="true"/>
        </w:trPr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CE6F1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JP" w:hAnsi="Noto Sans CJK JP" w:eastAsia="Noto Sans CJK JP"/>
                <w:b/>
                <w:sz w:val="18"/>
              </w:rPr>
              <w:t>主なデータ</w:t>
            </w:r>
          </w:p>
        </w:tc>
        <w:tc>
          <w:tcPr>
            <w:tcW w:type="dxa" w:w="51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CE6F1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JP" w:hAnsi="Noto Sans CJK JP" w:eastAsia="Noto Sans CJK JP"/>
                <w:b/>
                <w:sz w:val="18"/>
              </w:rPr>
              <w:t>そのデータで何がわかるか</w:t>
            </w:r>
          </w:p>
        </w:tc>
      </w:tr>
      <w:tr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JP" w:hAnsi="Noto Sans CJK JP" w:eastAsia="Noto Sans CJK JP"/>
                <w:b w:val="0"/>
                <w:sz w:val="18"/>
              </w:rPr>
              <w:t>顧客基本情報</w:t>
            </w:r>
          </w:p>
        </w:tc>
        <w:tc>
          <w:tcPr>
            <w:tcW w:type="dxa" w:w="51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18"/>
              </w:rPr>
              <w:t>顧客の識別、地域、統合キー候補がわかる</w:t>
            </w:r>
          </w:p>
        </w:tc>
      </w:tr>
      <w:tr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JP" w:hAnsi="Noto Sans CJK JP" w:eastAsia="Noto Sans CJK JP"/>
                <w:b w:val="0"/>
                <w:sz w:val="18"/>
              </w:rPr>
              <w:t>購入回数・最終購入日</w:t>
            </w:r>
          </w:p>
        </w:tc>
        <w:tc>
          <w:tcPr>
            <w:tcW w:type="dxa" w:w="51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18"/>
              </w:rPr>
              <w:t>アクティブ顧客か、休眠傾向かがわかる</w:t>
            </w:r>
          </w:p>
        </w:tc>
      </w:tr>
      <w:tr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JP" w:hAnsi="Noto Sans CJK JP" w:eastAsia="Noto Sans CJK JP"/>
                <w:b w:val="0"/>
                <w:sz w:val="18"/>
              </w:rPr>
              <w:t>LTV・平均注文額・粗利</w:t>
            </w:r>
          </w:p>
        </w:tc>
        <w:tc>
          <w:tcPr>
            <w:tcW w:type="dxa" w:w="51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18"/>
              </w:rPr>
              <w:t>どの顧客が価値の高い顧客かがわかる</w:t>
            </w:r>
          </w:p>
        </w:tc>
      </w:tr>
      <w:tr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JP" w:hAnsi="Noto Sans CJK JP" w:eastAsia="Noto Sans CJK JP"/>
                <w:b w:val="0"/>
                <w:sz w:val="18"/>
              </w:rPr>
              <w:t>返品・返金・キャンセル</w:t>
            </w:r>
          </w:p>
        </w:tc>
        <w:tc>
          <w:tcPr>
            <w:tcW w:type="dxa" w:w="51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18"/>
              </w:rPr>
              <w:t>品質低下や負の価値がわかる</w:t>
            </w:r>
          </w:p>
        </w:tc>
      </w:tr>
      <w:tr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JP" w:hAnsi="Noto Sans CJK JP" w:eastAsia="Noto Sans CJK JP"/>
                <w:b w:val="0"/>
                <w:sz w:val="18"/>
              </w:rPr>
              <w:t>アップセルスコア・離脱兆候</w:t>
            </w:r>
          </w:p>
        </w:tc>
        <w:tc>
          <w:tcPr>
            <w:tcW w:type="dxa" w:w="51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18"/>
              </w:rPr>
              <w:t>今動かすべき顧客かがわかる</w:t>
            </w:r>
          </w:p>
        </w:tc>
      </w:tr>
    </w:tbl>
    <w:p/>
    <w:p>
      <w:pPr>
        <w:pStyle w:val="Heading2"/>
        <w:spacing w:before="120" w:after="120"/>
      </w:pPr>
      <w:r>
        <w:rPr>
          <w:rFonts w:ascii="Noto Sans CJK JP" w:hAnsi="Noto Sans CJK JP" w:eastAsia="Noto Sans CJK JP"/>
          <w:b/>
          <w:sz w:val="24"/>
        </w:rPr>
        <w:t>4-2. LeadHive</w:t>
      </w:r>
    </w:p>
    <w:p>
      <w:pPr>
        <w:spacing w:after="120" w:line="293" w:lineRule="auto"/>
      </w:pPr>
      <w:r>
        <w:rPr>
          <w:rFonts w:ascii="Noto Sans CJK JP" w:hAnsi="Noto Sans CJK JP" w:eastAsia="Noto Sans CJK JP"/>
          <w:b/>
          <w:sz w:val="21"/>
        </w:rPr>
        <w:t>役割: 企業データ・営業支援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rPr>
          <w:tblHeader w:val="true"/>
        </w:trPr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CE6F1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JP" w:hAnsi="Noto Sans CJK JP" w:eastAsia="Noto Sans CJK JP"/>
                <w:b/>
                <w:sz w:val="18"/>
              </w:rPr>
              <w:t>主なデータ</w:t>
            </w:r>
          </w:p>
        </w:tc>
        <w:tc>
          <w:tcPr>
            <w:tcW w:type="dxa" w:w="51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CE6F1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JP" w:hAnsi="Noto Sans CJK JP" w:eastAsia="Noto Sans CJK JP"/>
                <w:b/>
                <w:sz w:val="18"/>
              </w:rPr>
              <w:t>そのデータで何がわかるか</w:t>
            </w:r>
          </w:p>
        </w:tc>
      </w:tr>
      <w:tr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JP" w:hAnsi="Noto Sans CJK JP" w:eastAsia="Noto Sans CJK JP"/>
                <w:b w:val="0"/>
                <w:sz w:val="18"/>
              </w:rPr>
              <w:t>企業名・法人番号・ドメイン</w:t>
            </w:r>
          </w:p>
        </w:tc>
        <w:tc>
          <w:tcPr>
            <w:tcW w:type="dxa" w:w="51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18"/>
              </w:rPr>
              <w:t>企業の同定と名寄せができる</w:t>
            </w:r>
          </w:p>
        </w:tc>
      </w:tr>
      <w:tr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JP" w:hAnsi="Noto Sans CJK JP" w:eastAsia="Noto Sans CJK JP"/>
                <w:b w:val="0"/>
                <w:sz w:val="18"/>
              </w:rPr>
              <w:t>業種・地域・企業属性</w:t>
            </w:r>
          </w:p>
        </w:tc>
        <w:tc>
          <w:tcPr>
            <w:tcW w:type="dxa" w:w="51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18"/>
              </w:rPr>
              <w:t>比較グループや営業仮説が作れる</w:t>
            </w:r>
          </w:p>
        </w:tc>
      </w:tr>
      <w:tr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JP" w:hAnsi="Noto Sans CJK JP" w:eastAsia="Noto Sans CJK JP"/>
                <w:b w:val="0"/>
                <w:sz w:val="18"/>
              </w:rPr>
              <w:t>ECスコア・CMS・SNS総数</w:t>
            </w:r>
          </w:p>
        </w:tc>
        <w:tc>
          <w:tcPr>
            <w:tcW w:type="dxa" w:w="51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18"/>
              </w:rPr>
              <w:t>デジタル成熟度や提案適性がわかる</w:t>
            </w:r>
          </w:p>
        </w:tc>
      </w:tr>
      <w:tr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JP" w:hAnsi="Noto Sans CJK JP" w:eastAsia="Noto Sans CJK JP"/>
                <w:b w:val="0"/>
                <w:sz w:val="18"/>
              </w:rPr>
              <w:t>採用情報・営業ステータス</w:t>
            </w:r>
          </w:p>
        </w:tc>
        <w:tc>
          <w:tcPr>
            <w:tcW w:type="dxa" w:w="51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18"/>
              </w:rPr>
              <w:t>今動きやすい企業かがわかる</w:t>
            </w:r>
          </w:p>
        </w:tc>
      </w:tr>
      <w:tr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JP" w:hAnsi="Noto Sans CJK JP" w:eastAsia="Noto Sans CJK JP"/>
                <w:b w:val="0"/>
                <w:sz w:val="18"/>
              </w:rPr>
              <w:t>スクレイピング品質・robots制約</w:t>
            </w:r>
          </w:p>
        </w:tc>
        <w:tc>
          <w:tcPr>
            <w:tcW w:type="dxa" w:w="51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18"/>
              </w:rPr>
              <w:t>データ信頼性や取得難易度がわかる</w:t>
            </w:r>
          </w:p>
        </w:tc>
      </w:tr>
    </w:tbl>
    <w:p/>
    <w:p>
      <w:pPr>
        <w:pStyle w:val="Heading2"/>
        <w:spacing w:before="120" w:after="120"/>
      </w:pPr>
      <w:r>
        <w:rPr>
          <w:rFonts w:ascii="Noto Sans CJK JP" w:hAnsi="Noto Sans CJK JP" w:eastAsia="Noto Sans CJK JP"/>
          <w:b/>
          <w:sz w:val="24"/>
        </w:rPr>
        <w:t>4-3. CommitRev</w:t>
      </w:r>
    </w:p>
    <w:p>
      <w:pPr>
        <w:spacing w:after="120" w:line="293" w:lineRule="auto"/>
      </w:pPr>
      <w:r>
        <w:rPr>
          <w:rFonts w:ascii="Noto Sans CJK JP" w:hAnsi="Noto Sans CJK JP" w:eastAsia="Noto Sans CJK JP"/>
          <w:b/>
          <w:sz w:val="21"/>
        </w:rPr>
        <w:t>役割: 紹介・成果報酬管理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rPr>
          <w:tblHeader w:val="true"/>
        </w:trPr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CE6F1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JP" w:hAnsi="Noto Sans CJK JP" w:eastAsia="Noto Sans CJK JP"/>
                <w:b/>
                <w:sz w:val="18"/>
              </w:rPr>
              <w:t>主なデータ</w:t>
            </w:r>
          </w:p>
        </w:tc>
        <w:tc>
          <w:tcPr>
            <w:tcW w:type="dxa" w:w="51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CE6F1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JP" w:hAnsi="Noto Sans CJK JP" w:eastAsia="Noto Sans CJK JP"/>
                <w:b/>
                <w:sz w:val="18"/>
              </w:rPr>
              <w:t>そのデータで何がわかるか</w:t>
            </w:r>
          </w:p>
        </w:tc>
      </w:tr>
      <w:tr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JP" w:hAnsi="Noto Sans CJK JP" w:eastAsia="Noto Sans CJK JP"/>
                <w:b w:val="0"/>
                <w:sz w:val="18"/>
              </w:rPr>
              <w:t>パートナー情報</w:t>
            </w:r>
          </w:p>
        </w:tc>
        <w:tc>
          <w:tcPr>
            <w:tcW w:type="dxa" w:w="51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18"/>
              </w:rPr>
              <w:t>誰が紹介主体かがわかる</w:t>
            </w:r>
          </w:p>
        </w:tc>
      </w:tr>
      <w:tr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JP" w:hAnsi="Noto Sans CJK JP" w:eastAsia="Noto Sans CJK JP"/>
                <w:b w:val="0"/>
                <w:sz w:val="18"/>
              </w:rPr>
              <w:t>クリック・リード・アトリビューション</w:t>
            </w:r>
          </w:p>
        </w:tc>
        <w:tc>
          <w:tcPr>
            <w:tcW w:type="dxa" w:w="51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18"/>
              </w:rPr>
              <w:t>誰が誰に影響したかがわかる</w:t>
            </w:r>
          </w:p>
        </w:tc>
      </w:tr>
      <w:tr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JP" w:hAnsi="Noto Sans CJK JP" w:eastAsia="Noto Sans CJK JP"/>
                <w:b w:val="0"/>
                <w:sz w:val="18"/>
              </w:rPr>
              <w:t>成約・契約・更新</w:t>
            </w:r>
          </w:p>
        </w:tc>
        <w:tc>
          <w:tcPr>
            <w:tcW w:type="dxa" w:w="51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18"/>
              </w:rPr>
              <w:t>紹介がどこまで成果化したかがわかる</w:t>
            </w:r>
          </w:p>
        </w:tc>
      </w:tr>
      <w:tr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JP" w:hAnsi="Noto Sans CJK JP" w:eastAsia="Noto Sans CJK JP"/>
                <w:b w:val="0"/>
                <w:sz w:val="18"/>
              </w:rPr>
              <w:t>報酬・顧客LTV</w:t>
            </w:r>
          </w:p>
        </w:tc>
        <w:tc>
          <w:tcPr>
            <w:tcW w:type="dxa" w:w="51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18"/>
              </w:rPr>
              <w:t>紹介の価値がどれだけ高いかがわかる</w:t>
            </w:r>
          </w:p>
        </w:tc>
      </w:tr>
      <w:tr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JP" w:hAnsi="Noto Sans CJK JP" w:eastAsia="Noto Sans CJK JP"/>
                <w:b w:val="0"/>
                <w:sz w:val="18"/>
              </w:rPr>
              <w:t>不正フラグ・品質スコア</w:t>
            </w:r>
          </w:p>
        </w:tc>
        <w:tc>
          <w:tcPr>
            <w:tcW w:type="dxa" w:w="51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18"/>
              </w:rPr>
              <w:t>信頼できるパートナーかがわかる</w:t>
            </w:r>
          </w:p>
        </w:tc>
      </w:tr>
    </w:tbl>
    <w:p/>
    <w:p>
      <w:pPr>
        <w:pStyle w:val="Heading2"/>
        <w:spacing w:before="120" w:after="120"/>
      </w:pPr>
      <w:r>
        <w:rPr>
          <w:rFonts w:ascii="Noto Sans CJK JP" w:hAnsi="Noto Sans CJK JP" w:eastAsia="Noto Sans CJK JP"/>
          <w:b/>
          <w:sz w:val="24"/>
        </w:rPr>
        <w:t>4-4. Telluu</w:t>
      </w:r>
    </w:p>
    <w:p>
      <w:pPr>
        <w:spacing w:after="120" w:line="293" w:lineRule="auto"/>
      </w:pPr>
      <w:r>
        <w:rPr>
          <w:rFonts w:ascii="Noto Sans CJK JP" w:hAnsi="Noto Sans CJK JP" w:eastAsia="Noto Sans CJK JP"/>
          <w:b/>
          <w:sz w:val="21"/>
        </w:rPr>
        <w:t>役割: 紹介来店・縁の可視化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rPr>
          <w:tblHeader w:val="true"/>
        </w:trPr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CE6F1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JP" w:hAnsi="Noto Sans CJK JP" w:eastAsia="Noto Sans CJK JP"/>
                <w:b/>
                <w:sz w:val="18"/>
              </w:rPr>
              <w:t>主なデータ</w:t>
            </w:r>
          </w:p>
        </w:tc>
        <w:tc>
          <w:tcPr>
            <w:tcW w:type="dxa" w:w="51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CE6F1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JP" w:hAnsi="Noto Sans CJK JP" w:eastAsia="Noto Sans CJK JP"/>
                <w:b/>
                <w:sz w:val="18"/>
              </w:rPr>
              <w:t>そのデータで何がわかるか</w:t>
            </w:r>
          </w:p>
        </w:tc>
      </w:tr>
      <w:tr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JP" w:hAnsi="Noto Sans CJK JP" w:eastAsia="Noto Sans CJK JP"/>
                <w:b w:val="0"/>
                <w:sz w:val="18"/>
              </w:rPr>
              <w:t>参加者情報・認証連携</w:t>
            </w:r>
          </w:p>
        </w:tc>
        <w:tc>
          <w:tcPr>
            <w:tcW w:type="dxa" w:w="51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18"/>
              </w:rPr>
              <w:t>紹介者、来店者、店舗の識別ができる</w:t>
            </w:r>
          </w:p>
        </w:tc>
      </w:tr>
      <w:tr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JP" w:hAnsi="Noto Sans CJK JP" w:eastAsia="Noto Sans CJK JP"/>
                <w:b w:val="0"/>
                <w:sz w:val="18"/>
              </w:rPr>
              <w:t>紹介関係</w:t>
            </w:r>
          </w:p>
        </w:tc>
        <w:tc>
          <w:tcPr>
            <w:tcW w:type="dxa" w:w="51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18"/>
              </w:rPr>
              <w:t>誰が誰を動かしたかがわかる</w:t>
            </w:r>
          </w:p>
        </w:tc>
      </w:tr>
      <w:tr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JP" w:hAnsi="Noto Sans CJK JP" w:eastAsia="Noto Sans CJK JP"/>
                <w:b w:val="0"/>
                <w:sz w:val="18"/>
              </w:rPr>
              <w:t>来店・チェックイン・購買</w:t>
            </w:r>
          </w:p>
        </w:tc>
        <w:tc>
          <w:tcPr>
            <w:tcW w:type="dxa" w:w="51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18"/>
              </w:rPr>
              <w:t>紹介が現実行動に変わったかがわかる</w:t>
            </w:r>
          </w:p>
        </w:tc>
      </w:tr>
      <w:tr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JP" w:hAnsi="Noto Sans CJK JP" w:eastAsia="Noto Sans CJK JP"/>
                <w:b w:val="0"/>
                <w:sz w:val="18"/>
              </w:rPr>
              <w:t>スタンプ・クーポン・報酬</w:t>
            </w:r>
          </w:p>
        </w:tc>
        <w:tc>
          <w:tcPr>
            <w:tcW w:type="dxa" w:w="51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18"/>
              </w:rPr>
              <w:t>継続来店や施策反応がわかる</w:t>
            </w:r>
          </w:p>
        </w:tc>
      </w:tr>
      <w:tr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JP" w:hAnsi="Noto Sans CJK JP" w:eastAsia="Noto Sans CJK JP"/>
                <w:b w:val="0"/>
                <w:sz w:val="18"/>
              </w:rPr>
              <w:t>縁スコア・離脱アラート</w:t>
            </w:r>
          </w:p>
        </w:tc>
        <w:tc>
          <w:tcPr>
            <w:tcW w:type="dxa" w:w="51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18"/>
              </w:rPr>
              <w:t>強い関係や休眠兆候がわかる</w:t>
            </w:r>
          </w:p>
        </w:tc>
      </w:tr>
    </w:tbl>
    <w:p/>
    <w:p>
      <w:pPr>
        <w:pStyle w:val="Heading2"/>
        <w:spacing w:before="120" w:after="120"/>
      </w:pPr>
      <w:r>
        <w:rPr>
          <w:rFonts w:ascii="Noto Sans CJK JP" w:hAnsi="Noto Sans CJK JP" w:eastAsia="Noto Sans CJK JP"/>
          <w:b/>
          <w:sz w:val="24"/>
        </w:rPr>
        <w:t>4-5. Megruu</w:t>
      </w:r>
    </w:p>
    <w:p>
      <w:pPr>
        <w:spacing w:after="120" w:line="293" w:lineRule="auto"/>
      </w:pPr>
      <w:r>
        <w:rPr>
          <w:rFonts w:ascii="Noto Sans CJK JP" w:hAnsi="Noto Sans CJK JP" w:eastAsia="Noto Sans CJK JP"/>
          <w:b/>
          <w:sz w:val="21"/>
        </w:rPr>
        <w:t>役割: 店舗間送客・ネットワーク循環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rPr>
          <w:tblHeader w:val="true"/>
        </w:trPr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CE6F1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JP" w:hAnsi="Noto Sans CJK JP" w:eastAsia="Noto Sans CJK JP"/>
                <w:b/>
                <w:sz w:val="18"/>
              </w:rPr>
              <w:t>主なデータ</w:t>
            </w:r>
          </w:p>
        </w:tc>
        <w:tc>
          <w:tcPr>
            <w:tcW w:type="dxa" w:w="51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CE6F1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JP" w:hAnsi="Noto Sans CJK JP" w:eastAsia="Noto Sans CJK JP"/>
                <w:b/>
                <w:sz w:val="18"/>
              </w:rPr>
              <w:t>そのデータで何がわかるか</w:t>
            </w:r>
          </w:p>
        </w:tc>
      </w:tr>
      <w:tr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JP" w:hAnsi="Noto Sans CJK JP" w:eastAsia="Noto Sans CJK JP"/>
                <w:b w:val="0"/>
                <w:sz w:val="18"/>
              </w:rPr>
              <w:t>店舗情報・提携リンク</w:t>
            </w:r>
          </w:p>
        </w:tc>
        <w:tc>
          <w:tcPr>
            <w:tcW w:type="dxa" w:w="51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18"/>
              </w:rPr>
              <w:t>どの店舗同士がつながっているかがわかる</w:t>
            </w:r>
          </w:p>
        </w:tc>
      </w:tr>
      <w:tr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JP" w:hAnsi="Noto Sans CJK JP" w:eastAsia="Noto Sans CJK JP"/>
                <w:b w:val="0"/>
                <w:sz w:val="18"/>
              </w:rPr>
              <w:t>送客イベント</w:t>
            </w:r>
          </w:p>
        </w:tc>
        <w:tc>
          <w:tcPr>
            <w:tcW w:type="dxa" w:w="51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18"/>
              </w:rPr>
              <w:t>誰が誰に送客したかがわかる</w:t>
            </w:r>
          </w:p>
        </w:tc>
      </w:tr>
      <w:tr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JP" w:hAnsi="Noto Sans CJK JP" w:eastAsia="Noto Sans CJK JP"/>
                <w:b w:val="0"/>
                <w:sz w:val="18"/>
              </w:rPr>
              <w:t>送客確認・却下</w:t>
            </w:r>
          </w:p>
        </w:tc>
        <w:tc>
          <w:tcPr>
            <w:tcW w:type="dxa" w:w="51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18"/>
              </w:rPr>
              <w:t>成果化したか、品質に問題があるかがわかる</w:t>
            </w:r>
          </w:p>
        </w:tc>
      </w:tr>
      <w:tr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JP" w:hAnsi="Noto Sans CJK JP" w:eastAsia="Noto Sans CJK JP"/>
                <w:b w:val="0"/>
                <w:sz w:val="18"/>
              </w:rPr>
              <w:t>ポイント・手数料・回遊価値</w:t>
            </w:r>
          </w:p>
        </w:tc>
        <w:tc>
          <w:tcPr>
            <w:tcW w:type="dxa" w:w="51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18"/>
              </w:rPr>
              <w:t>ネットワークの価値がわかる</w:t>
            </w:r>
          </w:p>
        </w:tc>
      </w:tr>
      <w:tr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JP" w:hAnsi="Noto Sans CJK JP" w:eastAsia="Noto Sans CJK JP"/>
                <w:b w:val="0"/>
                <w:sz w:val="18"/>
              </w:rPr>
              <w:t>trust score・不均衡情報</w:t>
            </w:r>
          </w:p>
        </w:tc>
        <w:tc>
          <w:tcPr>
            <w:tcW w:type="dxa" w:w="51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18"/>
              </w:rPr>
              <w:t>一方通行や信頼低下がわかる</w:t>
            </w:r>
          </w:p>
        </w:tc>
      </w:tr>
    </w:tbl>
    <w:p/>
    <w:p>
      <w:pPr>
        <w:pStyle w:val="Heading1"/>
        <w:spacing w:before="200" w:after="120"/>
      </w:pPr>
      <w:r>
        <w:rPr>
          <w:rFonts w:ascii="Noto Sans CJK JP" w:hAnsi="Noto Sans CJK JP" w:eastAsia="Noto Sans CJK JP"/>
          <w:b/>
          <w:color w:val="1F497D"/>
          <w:sz w:val="28"/>
        </w:rPr>
        <w:t>5. サービス横断で見ると、何が見えるのか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rPr>
          <w:tblHeader w:val="true"/>
        </w:trPr>
        <w:tc>
          <w:tcPr>
            <w:tcW w:type="dxa" w:w="26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CE6F1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JP" w:hAnsi="Noto Sans CJK JP" w:eastAsia="Noto Sans CJK JP"/>
                <w:b/>
                <w:sz w:val="18"/>
              </w:rPr>
              <w:t>組み合わせ</w:t>
            </w:r>
          </w:p>
        </w:tc>
        <w:tc>
          <w:tcPr>
            <w:tcW w:type="dxa" w:w="58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CE6F1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JP" w:hAnsi="Noto Sans CJK JP" w:eastAsia="Noto Sans CJK JP"/>
                <w:b/>
                <w:sz w:val="18"/>
              </w:rPr>
              <w:t>見えること</w:t>
            </w:r>
          </w:p>
        </w:tc>
      </w:tr>
      <w:tr>
        <w:tc>
          <w:tcPr>
            <w:tcW w:type="dxa" w:w="26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JP" w:hAnsi="Noto Sans CJK JP" w:eastAsia="Noto Sans CJK JP"/>
                <w:b w:val="0"/>
                <w:sz w:val="18"/>
              </w:rPr>
              <w:t>ESCMS × CommitRev</w:t>
            </w:r>
          </w:p>
        </w:tc>
        <w:tc>
          <w:tcPr>
            <w:tcW w:type="dxa" w:w="58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18"/>
              </w:rPr>
              <w:t>紹介された顧客が、その後どれだけLTVを生んだかが見える</w:t>
            </w:r>
          </w:p>
        </w:tc>
      </w:tr>
      <w:tr>
        <w:tc>
          <w:tcPr>
            <w:tcW w:type="dxa" w:w="26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JP" w:hAnsi="Noto Sans CJK JP" w:eastAsia="Noto Sans CJK JP"/>
                <w:b w:val="0"/>
                <w:sz w:val="18"/>
              </w:rPr>
              <w:t>CommitRev × Telluu</w:t>
            </w:r>
          </w:p>
        </w:tc>
        <w:tc>
          <w:tcPr>
            <w:tcW w:type="dxa" w:w="58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18"/>
              </w:rPr>
              <w:t>オンライン紹介力とリアル接点で人を動かす力を比較できる</w:t>
            </w:r>
          </w:p>
        </w:tc>
      </w:tr>
      <w:tr>
        <w:tc>
          <w:tcPr>
            <w:tcW w:type="dxa" w:w="26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JP" w:hAnsi="Noto Sans CJK JP" w:eastAsia="Noto Sans CJK JP"/>
                <w:b w:val="0"/>
                <w:sz w:val="18"/>
              </w:rPr>
              <w:t>Telluu × Megruu</w:t>
            </w:r>
          </w:p>
        </w:tc>
        <w:tc>
          <w:tcPr>
            <w:tcW w:type="dxa" w:w="58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18"/>
              </w:rPr>
              <w:t>個人紹介と店舗間送客の両方から地域内の循環構造が見える</w:t>
            </w:r>
          </w:p>
        </w:tc>
      </w:tr>
      <w:tr>
        <w:tc>
          <w:tcPr>
            <w:tcW w:type="dxa" w:w="26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JP" w:hAnsi="Noto Sans CJK JP" w:eastAsia="Noto Sans CJK JP"/>
                <w:b w:val="0"/>
                <w:sz w:val="18"/>
              </w:rPr>
              <w:t>LeadHive × ESCMS</w:t>
            </w:r>
          </w:p>
        </w:tc>
        <w:tc>
          <w:tcPr>
            <w:tcW w:type="dxa" w:w="58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18"/>
              </w:rPr>
              <w:t>営業対象企業の温度感と、既存顧客価値の違いが見える</w:t>
            </w:r>
          </w:p>
        </w:tc>
      </w:tr>
      <w:tr>
        <w:tc>
          <w:tcPr>
            <w:tcW w:type="dxa" w:w="26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JP" w:hAnsi="Noto Sans CJK JP" w:eastAsia="Noto Sans CJK JP"/>
                <w:b w:val="0"/>
                <w:sz w:val="18"/>
              </w:rPr>
              <w:t>LeadHive × CommitRev</w:t>
            </w:r>
          </w:p>
        </w:tc>
        <w:tc>
          <w:tcPr>
            <w:tcW w:type="dxa" w:w="58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18"/>
              </w:rPr>
              <w:t>紹介パートナー候補になりやすい企業群が見える</w:t>
            </w:r>
          </w:p>
        </w:tc>
      </w:tr>
      <w:tr>
        <w:tc>
          <w:tcPr>
            <w:tcW w:type="dxa" w:w="26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JP" w:hAnsi="Noto Sans CJK JP" w:eastAsia="Noto Sans CJK JP"/>
                <w:b w:val="0"/>
                <w:sz w:val="18"/>
              </w:rPr>
              <w:t>全サービス横断</w:t>
            </w:r>
          </w:p>
        </w:tc>
        <w:tc>
          <w:tcPr>
            <w:tcW w:type="dxa" w:w="58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18"/>
              </w:rPr>
              <w:t>誰が価値を生み、誰が波及させ、誰が信頼され、どこで関係が止まっているかが見える</w:t>
            </w:r>
          </w:p>
        </w:tc>
      </w:tr>
    </w:tbl>
    <w:p/>
    <w:p>
      <w:pPr>
        <w:pStyle w:val="Heading1"/>
        <w:spacing w:before="200" w:after="120"/>
      </w:pPr>
      <w:r>
        <w:rPr>
          <w:rFonts w:ascii="Noto Sans CJK JP" w:hAnsi="Noto Sans CJK JP" w:eastAsia="Noto Sans CJK JP"/>
          <w:b/>
          <w:color w:val="1F497D"/>
          <w:sz w:val="28"/>
        </w:rPr>
        <w:t>6. lumiqbarin における共通構造</w:t>
      </w:r>
    </w:p>
    <w:p>
      <w:pPr>
        <w:spacing w:after="120" w:line="293" w:lineRule="auto"/>
      </w:pPr>
      <w:r>
        <w:rPr>
          <w:rFonts w:ascii="Noto Sans CJK JP" w:hAnsi="Noto Sans CJK JP" w:eastAsia="Noto Sans CJK JP"/>
          <w:b w:val="0"/>
          <w:sz w:val="21"/>
        </w:rPr>
        <w:t>各サービスのデータは最終的に共通構造へ翻訳されます。重要なのは、元サービスごとに見え方が違っても、lumiqbarin 上では同じ問いで扱えることです。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tblHeader w:val="true"/>
        </w:trPr>
        <w:tc>
          <w:tcPr>
            <w:tcW w:type="dxa" w:w="15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CE6F1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JP" w:hAnsi="Noto Sans CJK JP" w:eastAsia="Noto Sans CJK JP"/>
                <w:b/>
                <w:sz w:val="18"/>
              </w:rPr>
              <w:t>共通構造</w:t>
            </w:r>
          </w:p>
        </w:tc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CE6F1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JP" w:hAnsi="Noto Sans CJK JP" w:eastAsia="Noto Sans CJK JP"/>
                <w:b/>
                <w:sz w:val="18"/>
              </w:rPr>
              <w:t>説明</w:t>
            </w:r>
          </w:p>
        </w:tc>
        <w:tc>
          <w:tcPr>
            <w:tcW w:type="dxa" w:w="45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CE6F1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JP" w:hAnsi="Noto Sans CJK JP" w:eastAsia="Noto Sans CJK JP"/>
                <w:b/>
                <w:sz w:val="18"/>
              </w:rPr>
              <w:t>各サービスの例</w:t>
            </w:r>
          </w:p>
        </w:tc>
      </w:tr>
      <w:tr>
        <w:tc>
          <w:tcPr>
            <w:tcW w:type="dxa" w:w="15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JP" w:hAnsi="Noto Sans CJK JP" w:eastAsia="Noto Sans CJK JP"/>
                <w:b w:val="0"/>
                <w:sz w:val="18"/>
              </w:rPr>
              <w:t>actor</w:t>
            </w:r>
          </w:p>
        </w:tc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18"/>
              </w:rPr>
              <w:t>主体</w:t>
            </w:r>
          </w:p>
        </w:tc>
        <w:tc>
          <w:tcPr>
            <w:tcW w:type="dxa" w:w="45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18"/>
              </w:rPr>
              <w:t>顧客、企業、店舗、パートナー、スタッフ</w:t>
            </w:r>
          </w:p>
        </w:tc>
      </w:tr>
      <w:tr>
        <w:tc>
          <w:tcPr>
            <w:tcW w:type="dxa" w:w="15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JP" w:hAnsi="Noto Sans CJK JP" w:eastAsia="Noto Sans CJK JP"/>
                <w:b w:val="0"/>
                <w:sz w:val="18"/>
              </w:rPr>
              <w:t>relationship</w:t>
            </w:r>
          </w:p>
        </w:tc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18"/>
              </w:rPr>
              <w:t>主体同士の関係</w:t>
            </w:r>
          </w:p>
        </w:tc>
        <w:tc>
          <w:tcPr>
            <w:tcW w:type="dxa" w:w="45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18"/>
              </w:rPr>
              <w:t>紹介、送客、所属、購買関係</w:t>
            </w:r>
          </w:p>
        </w:tc>
      </w:tr>
      <w:tr>
        <w:tc>
          <w:tcPr>
            <w:tcW w:type="dxa" w:w="15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JP" w:hAnsi="Noto Sans CJK JP" w:eastAsia="Noto Sans CJK JP"/>
                <w:b w:val="0"/>
                <w:sz w:val="18"/>
              </w:rPr>
              <w:t>action</w:t>
            </w:r>
          </w:p>
        </w:tc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18"/>
              </w:rPr>
              <w:t>行動イベント</w:t>
            </w:r>
          </w:p>
        </w:tc>
        <w:tc>
          <w:tcPr>
            <w:tcW w:type="dxa" w:w="45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18"/>
              </w:rPr>
              <w:t>購入、クリック、紹介、来店、送客、営業接触</w:t>
            </w:r>
          </w:p>
        </w:tc>
      </w:tr>
      <w:tr>
        <w:tc>
          <w:tcPr>
            <w:tcW w:type="dxa" w:w="15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JP" w:hAnsi="Noto Sans CJK JP" w:eastAsia="Noto Sans CJK JP"/>
                <w:b w:val="0"/>
                <w:sz w:val="18"/>
              </w:rPr>
              <w:t>outcome</w:t>
            </w:r>
          </w:p>
        </w:tc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18"/>
              </w:rPr>
              <w:t>成果イベント</w:t>
            </w:r>
          </w:p>
        </w:tc>
        <w:tc>
          <w:tcPr>
            <w:tcW w:type="dxa" w:w="45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18"/>
              </w:rPr>
              <w:t>成約、承認、更新、送客確認</w:t>
            </w:r>
          </w:p>
        </w:tc>
      </w:tr>
      <w:tr>
        <w:tc>
          <w:tcPr>
            <w:tcW w:type="dxa" w:w="15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JP" w:hAnsi="Noto Sans CJK JP" w:eastAsia="Noto Sans CJK JP"/>
                <w:b w:val="0"/>
                <w:sz w:val="18"/>
              </w:rPr>
              <w:t>value</w:t>
            </w:r>
          </w:p>
        </w:tc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18"/>
              </w:rPr>
              <w:t>金額・価値</w:t>
            </w:r>
          </w:p>
        </w:tc>
        <w:tc>
          <w:tcPr>
            <w:tcW w:type="dxa" w:w="45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18"/>
              </w:rPr>
              <w:t>売上、LTV、報酬、回遊価値</w:t>
            </w:r>
          </w:p>
        </w:tc>
      </w:tr>
      <w:tr>
        <w:tc>
          <w:tcPr>
            <w:tcW w:type="dxa" w:w="15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JP" w:hAnsi="Noto Sans CJK JP" w:eastAsia="Noto Sans CJK JP"/>
                <w:b w:val="0"/>
                <w:sz w:val="18"/>
              </w:rPr>
              <w:t>quality</w:t>
            </w:r>
          </w:p>
        </w:tc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18"/>
              </w:rPr>
              <w:t>品質・信頼指標</w:t>
            </w:r>
          </w:p>
        </w:tc>
        <w:tc>
          <w:tcPr>
            <w:tcW w:type="dxa" w:w="45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18"/>
              </w:rPr>
              <w:t>承認率、確認率、不正リスク、返金率</w:t>
            </w:r>
          </w:p>
        </w:tc>
      </w:tr>
      <w:tr>
        <w:tc>
          <w:tcPr>
            <w:tcW w:type="dxa" w:w="15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JP" w:hAnsi="Noto Sans CJK JP" w:eastAsia="Noto Sans CJK JP"/>
                <w:b w:val="0"/>
                <w:sz w:val="18"/>
              </w:rPr>
              <w:t>continuity</w:t>
            </w:r>
          </w:p>
        </w:tc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18"/>
              </w:rPr>
              <w:t>継続指標</w:t>
            </w:r>
          </w:p>
        </w:tc>
        <w:tc>
          <w:tcPr>
            <w:tcW w:type="dxa" w:w="45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18"/>
              </w:rPr>
              <w:t>再購入率、継続月数、更新率</w:t>
            </w:r>
          </w:p>
        </w:tc>
      </w:tr>
      <w:tr>
        <w:tc>
          <w:tcPr>
            <w:tcW w:type="dxa" w:w="15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JP" w:hAnsi="Noto Sans CJK JP" w:eastAsia="Noto Sans CJK JP"/>
                <w:b w:val="0"/>
                <w:sz w:val="18"/>
              </w:rPr>
              <w:t>signal</w:t>
            </w:r>
          </w:p>
        </w:tc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18"/>
              </w:rPr>
              <w:t>兆候</w:t>
            </w:r>
          </w:p>
        </w:tc>
        <w:tc>
          <w:tcPr>
            <w:tcW w:type="dxa" w:w="45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18"/>
              </w:rPr>
              <w:t>離脱、商機、異常、不均衡</w:t>
            </w:r>
          </w:p>
        </w:tc>
      </w:tr>
    </w:tbl>
    <w:p/>
    <w:p>
      <w:pPr>
        <w:pStyle w:val="Heading1"/>
        <w:spacing w:before="200" w:after="120"/>
      </w:pPr>
      <w:r>
        <w:rPr>
          <w:rFonts w:ascii="Noto Sans CJK JP" w:hAnsi="Noto Sans CJK JP" w:eastAsia="Noto Sans CJK JP"/>
          <w:b/>
          <w:color w:val="1F497D"/>
          <w:sz w:val="28"/>
        </w:rPr>
        <w:t>7. 各サービスが理解しておくべき連携ポイント</w:t>
      </w:r>
    </w:p>
    <w:p>
      <w:pPr>
        <w:pStyle w:val="ListBullet"/>
        <w:spacing w:after="40" w:line="276" w:lineRule="auto"/>
      </w:pPr>
      <w:r>
        <w:rPr>
          <w:rFonts w:ascii="Noto Sans CJK JP" w:hAnsi="Noto Sans CJK JP" w:eastAsia="Noto Sans CJK JP"/>
          <w:b w:val="0"/>
          <w:sz w:val="21"/>
        </w:rPr>
        <w:t>自サービスのデータは、自サービスのためだけでなく、他サービスの解釈を強くする材料になる。</w:t>
      </w:r>
    </w:p>
    <w:p>
      <w:pPr>
        <w:pStyle w:val="ListBullet"/>
        <w:spacing w:after="40" w:line="276" w:lineRule="auto"/>
      </w:pPr>
      <w:r>
        <w:rPr>
          <w:rFonts w:ascii="Noto Sans CJK JP" w:hAnsi="Noto Sans CJK JP" w:eastAsia="Noto Sans CJK JP"/>
          <w:b w:val="0"/>
          <w:sz w:val="21"/>
        </w:rPr>
        <w:t>actor の同定精度が低いと、全サービスの可視化が崩れるため、識別子の品質は最重要である。</w:t>
      </w:r>
    </w:p>
    <w:p>
      <w:pPr>
        <w:pStyle w:val="ListBullet"/>
        <w:spacing w:after="40" w:line="276" w:lineRule="auto"/>
      </w:pPr>
      <w:r>
        <w:rPr>
          <w:rFonts w:ascii="Noto Sans CJK JP" w:hAnsi="Noto Sans CJK JP" w:eastAsia="Noto Sans CJK JP"/>
          <w:b w:val="0"/>
          <w:sz w:val="21"/>
        </w:rPr>
        <w:t>行動と成果は分けて扱う。動いたことと成果が出たことは別である。</w:t>
      </w:r>
    </w:p>
    <w:p>
      <w:pPr>
        <w:pStyle w:val="ListBullet"/>
        <w:spacing w:after="40" w:line="276" w:lineRule="auto"/>
      </w:pPr>
      <w:r>
        <w:rPr>
          <w:rFonts w:ascii="Noto Sans CJK JP" w:hAnsi="Noto Sans CJK JP" w:eastAsia="Noto Sans CJK JP"/>
          <w:b w:val="0"/>
          <w:sz w:val="21"/>
        </w:rPr>
        <w:t>価値データだけでは不十分であり、信頼、継続、温度感のデータも必要である。</w:t>
      </w:r>
    </w:p>
    <w:p>
      <w:pPr>
        <w:pStyle w:val="ListBullet"/>
        <w:spacing w:after="40" w:line="276" w:lineRule="auto"/>
      </w:pPr>
      <w:r>
        <w:rPr>
          <w:rFonts w:ascii="Noto Sans CJK JP" w:hAnsi="Noto Sans CJK JP" w:eastAsia="Noto Sans CJK JP"/>
          <w:b w:val="0"/>
          <w:sz w:val="21"/>
        </w:rPr>
        <w:t>他サービスの役割を理解しておくと、必要なAPI項目やイベント設計の意味が見えやすくなる。</w:t>
      </w:r>
    </w:p>
    <w:p>
      <w:pPr>
        <w:pStyle w:val="Heading1"/>
        <w:spacing w:before="200" w:after="120"/>
      </w:pPr>
      <w:r>
        <w:rPr>
          <w:rFonts w:ascii="Noto Sans CJK JP" w:hAnsi="Noto Sans CJK JP" w:eastAsia="Noto Sans CJK JP"/>
          <w:b/>
          <w:color w:val="1F497D"/>
          <w:sz w:val="28"/>
        </w:rPr>
        <w:t>8. 各サービスが最低限意識すべき提供項目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rPr>
          <w:tblHeader w:val="true"/>
        </w:trPr>
        <w:tc>
          <w:tcPr>
            <w:tcW w:type="dxa" w:w="136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CE6F1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JP" w:hAnsi="Noto Sans CJK JP" w:eastAsia="Noto Sans CJK JP"/>
                <w:b/>
                <w:sz w:val="17"/>
              </w:rPr>
              <w:t>サービス</w:t>
            </w:r>
          </w:p>
        </w:tc>
        <w:tc>
          <w:tcPr>
            <w:tcW w:type="dxa" w:w="272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CE6F1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JP" w:hAnsi="Noto Sans CJK JP" w:eastAsia="Noto Sans CJK JP"/>
                <w:b/>
                <w:sz w:val="17"/>
              </w:rPr>
              <w:t>最低限ほしい主体データ</w:t>
            </w:r>
          </w:p>
        </w:tc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CE6F1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JP" w:hAnsi="Noto Sans CJK JP" w:eastAsia="Noto Sans CJK JP"/>
                <w:b/>
                <w:sz w:val="17"/>
              </w:rPr>
              <w:t>最低限ほしい行動/成果データ</w:t>
            </w:r>
          </w:p>
        </w:tc>
        <w:tc>
          <w:tcPr>
            <w:tcW w:type="dxa" w:w="243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CE6F1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JP" w:hAnsi="Noto Sans CJK JP" w:eastAsia="Noto Sans CJK JP"/>
                <w:b/>
                <w:sz w:val="17"/>
              </w:rPr>
              <w:t>最低限ほしい品質・継続データ</w:t>
            </w:r>
          </w:p>
        </w:tc>
      </w:tr>
      <w:tr>
        <w:tc>
          <w:tcPr>
            <w:tcW w:type="dxa" w:w="136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JP" w:hAnsi="Noto Sans CJK JP" w:eastAsia="Noto Sans CJK JP"/>
                <w:b w:val="0"/>
                <w:sz w:val="17"/>
              </w:rPr>
              <w:t>ESCMS</w:t>
            </w:r>
          </w:p>
        </w:tc>
        <w:tc>
          <w:tcPr>
            <w:tcW w:type="dxa" w:w="272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17"/>
              </w:rPr>
              <w:t>顧客ID、メール、電話、地域</w:t>
            </w:r>
          </w:p>
        </w:tc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17"/>
              </w:rPr>
              <w:t>注文、購入成立、返金</w:t>
            </w:r>
          </w:p>
        </w:tc>
        <w:tc>
          <w:tcPr>
            <w:tcW w:type="dxa" w:w="243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17"/>
              </w:rPr>
              <w:t>再購入率、最終購入日、離脱兆候</w:t>
            </w:r>
          </w:p>
        </w:tc>
      </w:tr>
      <w:tr>
        <w:tc>
          <w:tcPr>
            <w:tcW w:type="dxa" w:w="136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JP" w:hAnsi="Noto Sans CJK JP" w:eastAsia="Noto Sans CJK JP"/>
                <w:b w:val="0"/>
                <w:sz w:val="17"/>
              </w:rPr>
              <w:t>LeadHive</w:t>
            </w:r>
          </w:p>
        </w:tc>
        <w:tc>
          <w:tcPr>
            <w:tcW w:type="dxa" w:w="272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17"/>
              </w:rPr>
              <w:t>企業ID、法人番号、ドメイン、業種</w:t>
            </w:r>
          </w:p>
        </w:tc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17"/>
              </w:rPr>
              <w:t>営業接触、案件ステータス</w:t>
            </w:r>
          </w:p>
        </w:tc>
        <w:tc>
          <w:tcPr>
            <w:tcW w:type="dxa" w:w="243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17"/>
              </w:rPr>
              <w:t>ECスコア、企業実在性、成熟度</w:t>
            </w:r>
          </w:p>
        </w:tc>
      </w:tr>
      <w:tr>
        <w:tc>
          <w:tcPr>
            <w:tcW w:type="dxa" w:w="136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JP" w:hAnsi="Noto Sans CJK JP" w:eastAsia="Noto Sans CJK JP"/>
                <w:b w:val="0"/>
                <w:sz w:val="17"/>
              </w:rPr>
              <w:t>CommitRev</w:t>
            </w:r>
          </w:p>
        </w:tc>
        <w:tc>
          <w:tcPr>
            <w:tcW w:type="dxa" w:w="272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17"/>
              </w:rPr>
              <w:t>パートナーID、メール</w:t>
            </w:r>
          </w:p>
        </w:tc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17"/>
              </w:rPr>
              <w:t>クリック、リード、成約、更新</w:t>
            </w:r>
          </w:p>
        </w:tc>
        <w:tc>
          <w:tcPr>
            <w:tcW w:type="dxa" w:w="243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17"/>
              </w:rPr>
              <w:t>リスクフラグ、継続報酬率</w:t>
            </w:r>
          </w:p>
        </w:tc>
      </w:tr>
      <w:tr>
        <w:tc>
          <w:tcPr>
            <w:tcW w:type="dxa" w:w="136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JP" w:hAnsi="Noto Sans CJK JP" w:eastAsia="Noto Sans CJK JP"/>
                <w:b w:val="0"/>
                <w:sz w:val="17"/>
              </w:rPr>
              <w:t>Telluu</w:t>
            </w:r>
          </w:p>
        </w:tc>
        <w:tc>
          <w:tcPr>
            <w:tcW w:type="dxa" w:w="272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17"/>
              </w:rPr>
              <w:t>参加者ID、認証ID、店舗ID</w:t>
            </w:r>
          </w:p>
        </w:tc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17"/>
              </w:rPr>
              <w:t>紹介、来店、承認、報酬</w:t>
            </w:r>
          </w:p>
        </w:tc>
        <w:tc>
          <w:tcPr>
            <w:tcW w:type="dxa" w:w="243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17"/>
              </w:rPr>
              <w:t>承認率、縁スコア、継続来店</w:t>
            </w:r>
          </w:p>
        </w:tc>
      </w:tr>
      <w:tr>
        <w:tc>
          <w:tcPr>
            <w:tcW w:type="dxa" w:w="136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JP" w:hAnsi="Noto Sans CJK JP" w:eastAsia="Noto Sans CJK JP"/>
                <w:b w:val="0"/>
                <w:sz w:val="17"/>
              </w:rPr>
              <w:t>Megruu</w:t>
            </w:r>
          </w:p>
        </w:tc>
        <w:tc>
          <w:tcPr>
            <w:tcW w:type="dxa" w:w="272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17"/>
              </w:rPr>
              <w:t>店舗ID、提携店舗ID</w:t>
            </w:r>
          </w:p>
        </w:tc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17"/>
              </w:rPr>
              <w:t>送客、確認、却下</w:t>
            </w:r>
          </w:p>
        </w:tc>
        <w:tc>
          <w:tcPr>
            <w:tcW w:type="dxa" w:w="243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17"/>
              </w:rPr>
              <w:t>trust score、確認率、不均衡</w:t>
            </w:r>
          </w:p>
        </w:tc>
      </w:tr>
    </w:tbl>
    <w:p/>
    <w:p>
      <w:pPr>
        <w:pStyle w:val="Heading1"/>
        <w:spacing w:before="200" w:after="120"/>
      </w:pPr>
      <w:r>
        <w:rPr>
          <w:rFonts w:ascii="Noto Sans CJK JP" w:hAnsi="Noto Sans CJK JP" w:eastAsia="Noto Sans CJK JP"/>
          <w:b/>
          <w:color w:val="1F497D"/>
          <w:sz w:val="28"/>
        </w:rPr>
        <w:t>9. lumiqbarin で最終的に見たい指標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rPr>
          <w:tblHeader w:val="true"/>
        </w:trP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CE6F1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JP" w:hAnsi="Noto Sans CJK JP" w:eastAsia="Noto Sans CJK JP"/>
                <w:b/>
                <w:sz w:val="18"/>
              </w:rPr>
              <w:t>指標</w:t>
            </w:r>
          </w:p>
        </w:tc>
        <w:tc>
          <w:tcPr>
            <w:tcW w:type="dxa" w:w="62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CE6F1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JP" w:hAnsi="Noto Sans CJK JP" w:eastAsia="Noto Sans CJK JP"/>
                <w:b/>
                <w:sz w:val="18"/>
              </w:rPr>
              <w:t>意味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JP" w:hAnsi="Noto Sans CJK JP" w:eastAsia="Noto Sans CJK JP"/>
                <w:b w:val="0"/>
                <w:sz w:val="18"/>
              </w:rPr>
              <w:t>関与スコア</w:t>
            </w:r>
          </w:p>
        </w:tc>
        <w:tc>
          <w:tcPr>
            <w:tcW w:type="dxa" w:w="62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18"/>
              </w:rPr>
              <w:t>どれだけ動いているか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JP" w:hAnsi="Noto Sans CJK JP" w:eastAsia="Noto Sans CJK JP"/>
                <w:b w:val="0"/>
                <w:sz w:val="18"/>
              </w:rPr>
              <w:t>価値スコア</w:t>
            </w:r>
          </w:p>
        </w:tc>
        <w:tc>
          <w:tcPr>
            <w:tcW w:type="dxa" w:w="62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18"/>
              </w:rPr>
              <w:t>どれだけ成果価値を生むか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JP" w:hAnsi="Noto Sans CJK JP" w:eastAsia="Noto Sans CJK JP"/>
                <w:b w:val="0"/>
                <w:sz w:val="18"/>
              </w:rPr>
              <w:t>波及スコア</w:t>
            </w:r>
          </w:p>
        </w:tc>
        <w:tc>
          <w:tcPr>
            <w:tcW w:type="dxa" w:w="62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18"/>
              </w:rPr>
              <w:t>どれだけ周囲へ広げるか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JP" w:hAnsi="Noto Sans CJK JP" w:eastAsia="Noto Sans CJK JP"/>
                <w:b w:val="0"/>
                <w:sz w:val="18"/>
              </w:rPr>
              <w:t>継続スコア</w:t>
            </w:r>
          </w:p>
        </w:tc>
        <w:tc>
          <w:tcPr>
            <w:tcW w:type="dxa" w:w="62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18"/>
              </w:rPr>
              <w:t>どれだけ続いているか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JP" w:hAnsi="Noto Sans CJK JP" w:eastAsia="Noto Sans CJK JP"/>
                <w:b w:val="0"/>
                <w:sz w:val="18"/>
              </w:rPr>
              <w:t>信頼スコア</w:t>
            </w:r>
          </w:p>
        </w:tc>
        <w:tc>
          <w:tcPr>
            <w:tcW w:type="dxa" w:w="62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18"/>
              </w:rPr>
              <w:t>どれだけ健全か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JP" w:hAnsi="Noto Sans CJK JP" w:eastAsia="Noto Sans CJK JP"/>
                <w:b w:val="0"/>
                <w:sz w:val="18"/>
              </w:rPr>
              <w:t>温度感スコア</w:t>
            </w:r>
          </w:p>
        </w:tc>
        <w:tc>
          <w:tcPr>
            <w:tcW w:type="dxa" w:w="62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18"/>
              </w:rPr>
              <w:t>今どれだけ動きやすいか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JP" w:hAnsi="Noto Sans CJK JP" w:eastAsia="Noto Sans CJK JP"/>
                <w:b w:val="0"/>
                <w:sz w:val="18"/>
              </w:rPr>
              <w:t>関与指数</w:t>
            </w:r>
          </w:p>
        </w:tc>
        <w:tc>
          <w:tcPr>
            <w:tcW w:type="dxa" w:w="62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18"/>
              </w:rPr>
              <w:t>生きた関係を持っているか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JP" w:hAnsi="Noto Sans CJK JP" w:eastAsia="Noto Sans CJK JP"/>
                <w:b w:val="0"/>
                <w:sz w:val="18"/>
              </w:rPr>
              <w:t>影響指数</w:t>
            </w:r>
          </w:p>
        </w:tc>
        <w:tc>
          <w:tcPr>
            <w:tcW w:type="dxa" w:w="62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18"/>
              </w:rPr>
              <w:t>周囲に成果を広げる力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JP" w:hAnsi="Noto Sans CJK JP" w:eastAsia="Noto Sans CJK JP"/>
                <w:b w:val="0"/>
                <w:sz w:val="18"/>
              </w:rPr>
              <w:t>信頼指数</w:t>
            </w:r>
          </w:p>
        </w:tc>
        <w:tc>
          <w:tcPr>
            <w:tcW w:type="dxa" w:w="62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18"/>
              </w:rPr>
              <w:t>長く安心して付き合えるか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JP" w:hAnsi="Noto Sans CJK JP" w:eastAsia="Noto Sans CJK JP"/>
                <w:b w:val="0"/>
                <w:sz w:val="18"/>
              </w:rPr>
              <w:t>活性化指数</w:t>
            </w:r>
          </w:p>
        </w:tc>
        <w:tc>
          <w:tcPr>
            <w:tcW w:type="dxa" w:w="62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18"/>
              </w:rPr>
              <w:t>今アプローチすべき相手か</w:t>
            </w:r>
          </w:p>
        </w:tc>
      </w:tr>
    </w:tbl>
    <w:p/>
    <w:p>
      <w:pPr>
        <w:pStyle w:val="Heading1"/>
        <w:spacing w:before="200" w:after="120"/>
      </w:pPr>
      <w:r>
        <w:rPr>
          <w:rFonts w:ascii="Noto Sans CJK JP" w:hAnsi="Noto Sans CJK JP" w:eastAsia="Noto Sans CJK JP"/>
          <w:b/>
          <w:color w:val="1F497D"/>
          <w:sz w:val="28"/>
        </w:rPr>
        <w:t>10. 共有しておくべき運用ルール</w:t>
      </w:r>
    </w:p>
    <w:p>
      <w:pPr>
        <w:pStyle w:val="ListBullet"/>
        <w:spacing w:after="40" w:line="276" w:lineRule="auto"/>
      </w:pPr>
      <w:r>
        <w:rPr>
          <w:rFonts w:ascii="Noto Sans CJK JP" w:hAnsi="Noto Sans CJK JP" w:eastAsia="Noto Sans CJK JP"/>
          <w:b w:val="0"/>
          <w:sz w:val="21"/>
        </w:rPr>
        <w:t>仕様変更時は、自サービス内の影響だけでなく、lumiqbarin 側で何が変わるかも確認する。</w:t>
      </w:r>
    </w:p>
    <w:p>
      <w:pPr>
        <w:pStyle w:val="ListBullet"/>
        <w:spacing w:after="40" w:line="276" w:lineRule="auto"/>
      </w:pPr>
      <w:r>
        <w:rPr>
          <w:rFonts w:ascii="Noto Sans CJK JP" w:hAnsi="Noto Sans CJK JP" w:eastAsia="Noto Sans CJK JP"/>
          <w:b w:val="0"/>
          <w:sz w:val="21"/>
        </w:rPr>
        <w:t>新しいイベントを追加する場合は、actor / relationship / action / outcome のどこに効くかを明記する。</w:t>
      </w:r>
    </w:p>
    <w:p>
      <w:pPr>
        <w:pStyle w:val="ListBullet"/>
        <w:spacing w:after="40" w:line="276" w:lineRule="auto"/>
      </w:pPr>
      <w:r>
        <w:rPr>
          <w:rFonts w:ascii="Noto Sans CJK JP" w:hAnsi="Noto Sans CJK JP" w:eastAsia="Noto Sans CJK JP"/>
          <w:b w:val="0"/>
          <w:sz w:val="21"/>
        </w:rPr>
        <w:t>不正フラグ、却下、返金などの負データは必ず残す。きれいな成果データだけでは信頼スコアが作れない。</w:t>
      </w:r>
    </w:p>
    <w:p>
      <w:pPr>
        <w:pStyle w:val="ListBullet"/>
        <w:spacing w:after="40" w:line="276" w:lineRule="auto"/>
      </w:pPr>
      <w:r>
        <w:rPr>
          <w:rFonts w:ascii="Noto Sans CJK JP" w:hAnsi="Noto Sans CJK JP" w:eastAsia="Noto Sans CJK JP"/>
          <w:b w:val="0"/>
          <w:sz w:val="21"/>
        </w:rPr>
        <w:t>温度感や離脱兆候に使えるデータは、更新頻度も含めて定義する。</w:t>
      </w:r>
    </w:p>
    <w:p>
      <w:pPr>
        <w:pStyle w:val="ListBullet"/>
        <w:spacing w:after="40" w:line="276" w:lineRule="auto"/>
      </w:pPr>
      <w:r>
        <w:rPr>
          <w:rFonts w:ascii="Noto Sans CJK JP" w:hAnsi="Noto Sans CJK JP" w:eastAsia="Noto Sans CJK JP"/>
          <w:b w:val="0"/>
          <w:sz w:val="21"/>
        </w:rPr>
        <w:t>自サービス以外の担当者も理解できる名称と説明でAPI項目やイベント名を整備する。</w:t>
      </w:r>
    </w:p>
    <w:p>
      <w:pPr>
        <w:pStyle w:val="Heading1"/>
        <w:spacing w:before="200" w:after="120"/>
      </w:pPr>
      <w:r>
        <w:rPr>
          <w:rFonts w:ascii="Noto Sans CJK JP" w:hAnsi="Noto Sans CJK JP" w:eastAsia="Noto Sans CJK JP"/>
          <w:b/>
          <w:color w:val="1F497D"/>
          <w:sz w:val="28"/>
        </w:rPr>
        <w:t>11. この資料を共有する意味</w:t>
      </w:r>
    </w:p>
    <w:p>
      <w:pPr>
        <w:spacing w:after="120" w:line="293" w:lineRule="auto"/>
      </w:pPr>
      <w:r>
        <w:rPr>
          <w:rFonts w:ascii="Noto Sans CJK JP" w:hAnsi="Noto Sans CJK JP" w:eastAsia="Noto Sans CJK JP"/>
          <w:b w:val="0"/>
          <w:sz w:val="21"/>
        </w:rPr>
        <w:t>各サービスが他サービスを理解している状態は、単なる情報共有ではなく設計品質そのものに直結します。自サービス以外のデータ価値を理解していれば、API設計、イベント設計、名寄せ設計、ETL設計、ダッシュボード設計が揃いやすくなります。</w:t>
      </w:r>
    </w:p>
    <w:p>
      <w:pPr>
        <w:spacing w:after="120" w:line="293" w:lineRule="auto"/>
      </w:pPr>
      <w:r>
        <w:rPr>
          <w:rFonts w:ascii="Noto Sans CJK JP" w:hAnsi="Noto Sans CJK JP" w:eastAsia="Noto Sans CJK JP"/>
          <w:b w:val="0"/>
          <w:sz w:val="21"/>
        </w:rPr>
        <w:t>逆に、自サービスだけを前提に設計すると、後から統合したときに「識別子が足りない」「成果と行動が分かれていない」「負データがない」「温度感が取れない」といった問題が起きやすくなります。</w:t>
      </w:r>
    </w:p>
    <w:p>
      <w:pPr>
        <w:pStyle w:val="Heading1"/>
        <w:spacing w:before="200" w:after="120"/>
      </w:pPr>
      <w:r>
        <w:rPr>
          <w:rFonts w:ascii="Noto Sans CJK JP" w:hAnsi="Noto Sans CJK JP" w:eastAsia="Noto Sans CJK JP"/>
          <w:b/>
          <w:color w:val="1F497D"/>
          <w:sz w:val="28"/>
        </w:rPr>
        <w:t>12. 次アクション</w:t>
      </w:r>
    </w:p>
    <w:p>
      <w:pPr>
        <w:pStyle w:val="ListBullet"/>
        <w:spacing w:after="40" w:line="276" w:lineRule="auto"/>
      </w:pPr>
      <w:r>
        <w:rPr>
          <w:rFonts w:ascii="Noto Sans CJK JP" w:hAnsi="Noto Sans CJK JP" w:eastAsia="Noto Sans CJK JP"/>
          <w:b w:val="0"/>
          <w:sz w:val="21"/>
        </w:rPr>
        <w:t>この資料を各サービス担当へ共有する</w:t>
      </w:r>
    </w:p>
    <w:p>
      <w:pPr>
        <w:pStyle w:val="ListBullet"/>
        <w:spacing w:after="40" w:line="276" w:lineRule="auto"/>
      </w:pPr>
      <w:r>
        <w:rPr>
          <w:rFonts w:ascii="Noto Sans CJK JP" w:hAnsi="Noto Sans CJK JP" w:eastAsia="Noto Sans CJK JP"/>
          <w:b w:val="0"/>
          <w:sz w:val="21"/>
        </w:rPr>
        <w:t>各サービスごとに、自サービスのデータ一覧と lumiqbarin 共通構造の対応表を確認する</w:t>
      </w:r>
    </w:p>
    <w:p>
      <w:pPr>
        <w:pStyle w:val="ListBullet"/>
        <w:spacing w:after="40" w:line="276" w:lineRule="auto"/>
      </w:pPr>
      <w:r>
        <w:rPr>
          <w:rFonts w:ascii="Noto Sans CJK JP" w:hAnsi="Noto Sans CJK JP" w:eastAsia="Noto Sans CJK JP"/>
          <w:b w:val="0"/>
          <w:sz w:val="21"/>
        </w:rPr>
        <w:t>不足している識別子、行動イベント、成果イベント、品質指標を洗い出す</w:t>
      </w:r>
    </w:p>
    <w:p>
      <w:pPr>
        <w:pStyle w:val="ListBullet"/>
        <w:spacing w:after="40" w:line="276" w:lineRule="auto"/>
      </w:pPr>
      <w:r>
        <w:rPr>
          <w:rFonts w:ascii="Noto Sans CJK JP" w:hAnsi="Noto Sans CJK JP" w:eastAsia="Noto Sans CJK JP"/>
          <w:b w:val="0"/>
          <w:sz w:val="21"/>
        </w:rPr>
        <w:t>API連携・ETL連携時に必要な項目を優先順位付きで整理する</w:t>
      </w:r>
    </w:p>
    <w:sectPr w:rsidR="00FC693F" w:rsidRPr="0006063C" w:rsidSect="00034616">
      <w:pgSz w:w="12240" w:h="15840"/>
      <w:pgMar w:top="1020" w:right="1077" w:bottom="102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JP" w:hAnsi="Noto Sans CJK JP" w:eastAsia="Noto Sans CJK JP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