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3A5F"/>
          <w:sz w:val="56"/>
        </w:rPr>
        <w:t>Strategiportföljen</w:t>
      </w:r>
    </w:p>
    <w:p>
      <w:pPr>
        <w:spacing w:after="120"/>
      </w:pPr>
      <w:r>
        <w:rPr>
          <w:b w:val="0"/>
          <w:color w:val="0EA5E9"/>
          <w:sz w:val="28"/>
        </w:rPr>
        <w:t>version 3.0</w:t>
      </w:r>
    </w:p>
    <w:p>
      <w:pPr>
        <w:spacing w:after="120"/>
      </w:pPr>
      <w:r>
        <w:rPr>
          <w:b w:val="0"/>
          <w:color w:val="6B7280"/>
          <w:sz w:val="24"/>
        </w:rPr>
        <w:t>The Magnificent Martin’s Money-Making Machine</w:t>
      </w:r>
    </w:p>
    <w:p>
      <w:pPr>
        <w:spacing w:after="120"/>
      </w:pPr>
      <w:r>
        <w:rPr>
          <w:b w:val="0"/>
          <w:color w:val="6B7280"/>
          <w:sz w:val="22"/>
        </w:rPr>
        <w:t>En personlig portföljapp för att följa en aktieportfölj med fokus på långsiktig tillväxt, riskmedvetenhet och strategisk disciplin. Byggt för iPad och dator · Öppnas direkt i webbläsaren · Inga konton</w:t>
      </w:r>
    </w:p>
    <w:p/>
    <w:p>
      <w:pPr>
        <w:spacing w:after="120"/>
      </w:pPr>
      <w:r>
        <w:rPr>
          <w:b/>
          <w:color w:val="1E3A5F"/>
          <w:sz w:val="32"/>
        </w:rPr>
        <w:t>1. Vad är Strategiportföljen?</w:t>
      </w:r>
    </w:p>
    <w:p>
      <w:pPr>
        <w:spacing w:after="120"/>
      </w:pPr>
      <w:r>
        <w:rPr>
          <w:b/>
          <w:color w:val="0EA5E9"/>
          <w:sz w:val="24"/>
        </w:rPr>
        <w:t>v3.0: Från kalkylblad till cockpit — tretton nya instrument, ett dashboard</w:t>
      </w:r>
    </w:p>
    <w:p>
      <w:pPr>
        <w:spacing w:after="120"/>
      </w:pPr>
      <w:r>
        <w:rPr>
          <w:b w:val="0"/>
          <w:color w:val="111827"/>
          <w:sz w:val="21"/>
        </w:rPr>
        <w:t>Strategiportföljen är en personlig webbapp byggd för att ge en samlad, överskadlig bild av en aktieportfölj som följer en genomtänkt investeringsstrategi. Med version 3.0 tar appen steget från interaktivt kalkylblad till ett riktigt cockpit: perioden du väljer påverkar alla vyer samtidigt, signaler aggregeras på ett ställe, och MA200 kan hämtas automatiskt från nätet — utan att du behöver slå upp ett enda värde manuellt.</w:t>
      </w:r>
    </w:p>
    <w:p>
      <w:pPr>
        <w:spacing w:after="120"/>
      </w:pPr>
      <w:r>
        <w:rPr>
          <w:b w:val="0"/>
          <w:color w:val="111827"/>
          <w:sz w:val="21"/>
        </w:rPr>
        <w:t>Tanken bakom appen är densamma som i första versionen: du ska kunna öppna den på måndag morgon, importera CSV-filer från Avanza, och direkt se om något behöver din uppmärksamhet. I v3.0 gör signalbandet på Dashboard det ännu tydligare — ett rött band med exakta siffror visar hur många innehåv som har aktiva signaler, nödutgångar eller ombalansering. Klicka på bandet så åker du direkt dit de är. Ingår allt i ordning? Då syns inte bandet alls.</w:t>
      </w:r>
    </w:p>
    <w:p>
      <w:pPr>
        <w:spacing w:after="120"/>
      </w:pPr>
      <w:r>
        <w:rPr>
          <w:b/>
          <w:color w:val="0EA5E9"/>
          <w:sz w:val="24"/>
        </w:rPr>
        <w:t>Arkitektur och filosofi</w:t>
      </w:r>
    </w:p>
    <w:p>
      <w:pPr>
        <w:spacing w:after="120"/>
      </w:pPr>
      <w:r>
        <w:rPr>
          <w:b w:val="0"/>
          <w:color w:val="111827"/>
          <w:sz w:val="21"/>
        </w:rPr>
        <w:t>Appen är avsiktligt byggd som en enda HTML-fil — index.html — utan backend, utan databas, utan inloggning. All data sparas i webbläsarens lokala lagring (localStorage). Det innebär att data aldrig lämnar din enhet, att appen fungerar offline, och att det inte finns någon server som kan drabbas av driftstopp eller dataintrång.</w:t>
      </w:r>
    </w:p>
    <w:p>
      <w:pPr>
        <w:spacing w:after="120"/>
      </w:pPr>
      <w:r>
        <w:rPr>
          <w:b w:val="0"/>
          <w:color w:val="111827"/>
          <w:sz w:val="21"/>
        </w:rPr>
        <w:t>Det är ett medvetet val som speglar investeringsfilosofin: enkelhet minskar fel. Precis som en portfölj med för många innehåv blir svår att övervaka, blir en app med för många beroenden svår att underhålla och lita på.</w:t>
      </w:r>
    </w:p>
    <w:p>
      <w:pPr>
        <w:spacing w:after="120"/>
      </w:pPr>
      <w:r>
        <w:rPr>
          <w:b/>
          <w:color w:val="1E3A5F"/>
          <w:sz w:val="22"/>
        </w:rPr>
        <w:t>Appen används primärt på tre sätt:</w:t>
      </w:r>
    </w:p>
    <w:p>
      <w:pPr>
        <w:pStyle w:val="ListBullet"/>
        <w:spacing w:after="80"/>
      </w:pPr>
      <w:r>
        <w:rPr>
          <w:b/>
          <w:color w:val="1E3A5F"/>
          <w:sz w:val="21"/>
        </w:rPr>
        <w:t>→ Veckovis uppföljning</w:t>
      </w:r>
    </w:p>
    <w:p>
      <w:pPr>
        <w:pStyle w:val="ListBullet"/>
        <w:spacing w:after="80"/>
      </w:pPr>
      <w:r>
        <w:rPr>
          <w:b w:val="0"/>
          <w:color w:val="111827"/>
          <w:sz w:val="21"/>
        </w:rPr>
        <w:t>(Måndag efter stängning) Importera positioner och transaktioner från Avanza. Granska signalbandet på Dashboard. Kolla Signaler-fliken för samlad åtgärdslista.</w:t>
      </w:r>
    </w:p>
    <w:p>
      <w:pPr>
        <w:pStyle w:val="ListBullet"/>
        <w:spacing w:after="80"/>
      </w:pPr>
      <w:r>
        <w:rPr>
          <w:b/>
          <w:color w:val="1E3A5F"/>
          <w:sz w:val="21"/>
        </w:rPr>
        <w:t>→ Beslutsunderlag</w:t>
      </w:r>
    </w:p>
    <w:p>
      <w:pPr>
        <w:pStyle w:val="ListBullet"/>
        <w:spacing w:after="80"/>
      </w:pPr>
      <w:r>
        <w:rPr>
          <w:b w:val="0"/>
          <w:color w:val="111827"/>
          <w:sz w:val="21"/>
        </w:rPr>
        <w:t>Innan ett köp eller sälj — verifiera kategoritillhörighet, MA200-avstånd, portföljvikt och ombalanseringsbehov. Jämför kategoriernas periodavkastning i Jämför-vyn.</w:t>
      </w:r>
    </w:p>
    <w:p>
      <w:pPr>
        <w:pStyle w:val="ListBullet"/>
        <w:spacing w:after="80"/>
      </w:pPr>
      <w:r>
        <w:rPr>
          <w:b/>
          <w:color w:val="1E3A5F"/>
          <w:sz w:val="21"/>
        </w:rPr>
        <w:t>→ Strategisk reflektion</w:t>
      </w:r>
    </w:p>
    <w:p>
      <w:pPr>
        <w:pStyle w:val="ListBullet"/>
        <w:spacing w:after="80"/>
      </w:pPr>
      <w:r>
        <w:rPr>
          <w:b w:val="0"/>
          <w:color w:val="111827"/>
          <w:sz w:val="21"/>
        </w:rPr>
        <w:t>Beslutloggen och värdeutvecklingsdiagrammet ger en historisk bild av vad som fungerat och inte. Kategorijämförelse-diagrammet (indexerat till 100) visar vilken kategori som bidragit mest över vald period.</w:t>
      </w:r>
    </w:p>
    <w:p/>
    <w:p>
      <w:pPr>
        <w:spacing w:after="120"/>
      </w:pPr>
      <w:r>
        <w:rPr>
          <w:b/>
          <w:color w:val="1E3A5F"/>
          <w:sz w:val="32"/>
        </w:rPr>
        <w:t>2. Investeringsstrategin bakom appen</w:t>
      </w:r>
    </w:p>
    <w:p>
      <w:pPr>
        <w:spacing w:after="120"/>
      </w:pPr>
      <w:r>
        <w:rPr>
          <w:b/>
          <w:color w:val="0EA5E9"/>
          <w:sz w:val="24"/>
        </w:rPr>
        <w:t>v3.0: Sex kategorier, nu med prestandamätning och jämförelse per period</w:t>
      </w:r>
    </w:p>
    <w:p>
      <w:pPr>
        <w:spacing w:after="120"/>
      </w:pPr>
      <w:r>
        <w:rPr>
          <w:b w:val="0"/>
          <w:color w:val="111827"/>
          <w:sz w:val="21"/>
        </w:rPr>
        <w:t>Appen är designad kring en specifik investeringsstrategi med sex kategorier. Varje kategori representerar en roll i portföljen — en funktion, inte bara ett tema. Grundtanken är att en portfölj är som ett lag: du behöver en försvarsspelare, en målskytt och en som springer inkasso. Ingen av dem är bättre än den andra, men alla behövs. Med v3.0 kan du nu se hur varje kategori presterat under exakt den period du väljer — och jämföra dem i ett indexerat linjediagram.</w:t>
      </w:r>
    </w:p>
    <w:p>
      <w:pPr>
        <w:spacing w:after="120"/>
      </w:pPr>
      <w:r>
        <w:rPr>
          <w:b/>
          <w:color w:val="0EA5E9"/>
          <w:sz w:val="24"/>
        </w:rPr>
        <w:t>De sex kategorierna</w:t>
      </w:r>
    </w:p>
    <w:p>
      <w:pPr>
        <w:spacing w:after="120"/>
      </w:pPr>
      <w:r>
        <w:rPr>
          <w:b/>
          <w:color w:val="1E3A5F"/>
          <w:sz w:val="21"/>
        </w:rPr>
        <w:t xml:space="preserve">⚓ Ankaret  </w:t>
      </w:r>
      <w:r>
        <w:rPr>
          <w:b w:val="0"/>
          <w:color w:val="111827"/>
          <w:sz w:val="21"/>
        </w:rPr>
        <w:t>(Indexfonder · målvikt 35–40 %)</w:t>
      </w:r>
    </w:p>
    <w:p>
      <w:pPr>
        <w:spacing w:after="120"/>
      </w:pPr>
      <w:r>
        <w:rPr>
          <w:b w:val="0"/>
          <w:color w:val="111827"/>
          <w:sz w:val="21"/>
        </w:rPr>
        <w:t>Basen i portföljen. Köps regelbundet, säljs aldrig vid dipp. Ger exponering mot bred marknadsuppgång med minimal risk och låg kostnad. Utan ett stadigt ankare kan hela portföljen driva iväg i storm.</w:t>
      </w:r>
    </w:p>
    <w:p>
      <w:pPr>
        <w:spacing w:after="120"/>
      </w:pPr>
      <w:r>
        <w:rPr>
          <w:b/>
          <w:color w:val="1E3A5F"/>
          <w:sz w:val="21"/>
        </w:rPr>
        <w:t xml:space="preserve">💰 Kassaflödet  </w:t>
      </w:r>
      <w:r>
        <w:rPr>
          <w:b w:val="0"/>
          <w:color w:val="111827"/>
          <w:sz w:val="21"/>
        </w:rPr>
        <w:t>(Utdelningsaktier · målvikt 20–25 %)</w:t>
      </w:r>
    </w:p>
    <w:p>
      <w:pPr>
        <w:spacing w:after="120"/>
      </w:pPr>
      <w:r>
        <w:rPr>
          <w:b w:val="0"/>
          <w:color w:val="111827"/>
          <w:sz w:val="21"/>
        </w:rPr>
        <w:t>Stabila bolag med lång utdelningshistorik. Utdelningarna återinvesteras. Säljs inte vid marknadskorrigeringar — de är portföljens „lunga‟, som andas lugnt när resten av marknaden hyperventilerar. Utdelningskalendern i v3.0 visar förväntade utbetalningar de kommande 90 dagarna.</w:t>
      </w:r>
    </w:p>
    <w:p>
      <w:pPr>
        <w:spacing w:after="120"/>
      </w:pPr>
      <w:r>
        <w:rPr>
          <w:b/>
          <w:color w:val="1E3A5F"/>
          <w:sz w:val="21"/>
        </w:rPr>
        <w:t xml:space="preserve">⚙️ Infrastrukturen  </w:t>
      </w:r>
      <w:r>
        <w:rPr>
          <w:b w:val="0"/>
          <w:color w:val="111827"/>
          <w:sz w:val="21"/>
        </w:rPr>
        <w:t>(AI-hårdvara / chip · målvikt 15–20 %)</w:t>
      </w:r>
    </w:p>
    <w:p>
      <w:pPr>
        <w:spacing w:after="120"/>
      </w:pPr>
      <w:r>
        <w:rPr>
          <w:b w:val="0"/>
          <w:color w:val="111827"/>
          <w:sz w:val="21"/>
        </w:rPr>
        <w:t>NVIDIA, TSMC, AMD — bolag som bygger fundamentet för nästa teknologivåg. Här gäller MA200-regeln med tvådagarsbekräftelse. Volatilt men strukturellt starkt.</w:t>
      </w:r>
    </w:p>
    <w:p>
      <w:pPr>
        <w:spacing w:after="120"/>
      </w:pPr>
      <w:r>
        <w:rPr>
          <w:b/>
          <w:color w:val="1E3A5F"/>
          <w:sz w:val="21"/>
        </w:rPr>
        <w:t xml:space="preserve">🧠 Hjärnan  </w:t>
      </w:r>
      <w:r>
        <w:rPr>
          <w:b w:val="0"/>
          <w:color w:val="111827"/>
          <w:sz w:val="21"/>
        </w:rPr>
        <w:t>(AI-mjukvara · målvikt 10–15 %)</w:t>
      </w:r>
    </w:p>
    <w:p>
      <w:pPr>
        <w:spacing w:after="120"/>
      </w:pPr>
      <w:r>
        <w:rPr>
          <w:b w:val="0"/>
          <w:color w:val="111827"/>
          <w:sz w:val="21"/>
        </w:rPr>
        <w:t>Bolag som tjänar pengar på att AI faktiskt används — Microsoft, Palantir, Salesforce. Högre värdering men exponering mot en sekulär tillväxttrend.</w:t>
      </w:r>
    </w:p>
    <w:p>
      <w:pPr>
        <w:spacing w:after="120"/>
      </w:pPr>
      <w:r>
        <w:rPr>
          <w:b/>
          <w:color w:val="1E3A5F"/>
          <w:sz w:val="21"/>
        </w:rPr>
        <w:t xml:space="preserve">🛡️ Skölden  </w:t>
      </w:r>
      <w:r>
        <w:rPr>
          <w:b w:val="0"/>
          <w:color w:val="111827"/>
          <w:sz w:val="21"/>
        </w:rPr>
        <w:t>(Försvarsindustri · målvikt 5–10 %)</w:t>
      </w:r>
    </w:p>
    <w:p>
      <w:pPr>
        <w:spacing w:after="120"/>
      </w:pPr>
      <w:r>
        <w:rPr>
          <w:b w:val="0"/>
          <w:color w:val="111827"/>
          <w:sz w:val="21"/>
        </w:rPr>
        <w:t>SAAB, Rheinmetall, BAE Systems. Defensiv exponering mot ett strukturellt underinvesterat segment. MA200-reglerna gäller.</w:t>
      </w:r>
    </w:p>
    <w:p>
      <w:pPr>
        <w:spacing w:after="120"/>
      </w:pPr>
      <w:r>
        <w:rPr>
          <w:b/>
          <w:color w:val="1E3A5F"/>
          <w:sz w:val="21"/>
        </w:rPr>
        <w:t xml:space="preserve">✨ Berättelserna  </w:t>
      </w:r>
      <w:r>
        <w:rPr>
          <w:b w:val="0"/>
          <w:color w:val="111827"/>
          <w:sz w:val="21"/>
        </w:rPr>
        <w:t>(Kryddor / teman · målvikt 0–5 %)</w:t>
      </w:r>
    </w:p>
    <w:p>
      <w:pPr>
        <w:spacing w:after="120"/>
      </w:pPr>
      <w:r>
        <w:rPr>
          <w:b w:val="0"/>
          <w:color w:val="111827"/>
          <w:sz w:val="21"/>
        </w:rPr>
        <w:t>Spekulativa positioner med hög conviction. Liten andel, stor potentiell uppsida — och full risk för förlust. Behandlas som lotter: man kan förlora allt, men man väljer medvetet hur mycket man är beredd att satsa.</w:t>
      </w:r>
    </w:p>
    <w:p>
      <w:pPr>
        <w:spacing w:after="120"/>
      </w:pPr>
      <w:r>
        <w:rPr>
          <w:b/>
          <w:color w:val="0EA5E9"/>
          <w:sz w:val="24"/>
        </w:rPr>
        <w:t>MA200-regeln — din disciplinerade exit</w:t>
      </w:r>
    </w:p>
    <w:p>
      <w:pPr>
        <w:spacing w:after="120"/>
      </w:pPr>
      <w:r>
        <w:rPr>
          <w:b w:val="0"/>
          <w:color w:val="111827"/>
          <w:sz w:val="21"/>
        </w:rPr>
        <w:t>För kategorierna 3–6 gäller en tydlig regel: om en aktie stänger under sitt 200-dagars glidande medelvvärde (MA200) i lokal valuta, och det bekräftas ett andra handelsdag i rad — är det en säljsignal. Inte en panik-signal. En säljsignal. Du bestämmer fortfarande, men appen flaggar det.</w:t>
      </w:r>
    </w:p>
    <w:p>
      <w:pPr>
        <w:spacing w:after="120"/>
      </w:pPr>
      <w:r>
        <w:rPr>
          <w:b w:val="0"/>
          <w:color w:val="111827"/>
          <w:sz w:val="21"/>
        </w:rPr>
        <w:t>MA200 anges alltid i lokal valuta — NVIDIA i USD, SAAB i SEK. I v3.0 kan MA200 hämtas automatiskt via Alpha Vantage API: ange en ticker per aktie, klicka „Uppdatera alla MA200‟, och värdena uppdateras direkt — utan att du behöver slå upp ett enda värde manuellt.</w:t>
      </w:r>
    </w:p>
    <w:p/>
    <w:p>
      <w:pPr>
        <w:spacing w:after="120"/>
      </w:pPr>
      <w:r>
        <w:rPr>
          <w:b/>
          <w:color w:val="1E3A5F"/>
          <w:sz w:val="32"/>
        </w:rPr>
        <w:t>3. Om aktier och portföljförvaltning</w:t>
      </w:r>
    </w:p>
    <w:p>
      <w:pPr>
        <w:spacing w:after="120"/>
      </w:pPr>
      <w:r>
        <w:rPr>
          <w:b/>
          <w:color w:val="0EA5E9"/>
          <w:sz w:val="24"/>
        </w:rPr>
        <w:t>v3.0: Marknaden har inga perioder — nu kan du välja din</w:t>
      </w:r>
    </w:p>
    <w:p>
      <w:pPr>
        <w:spacing w:after="120"/>
      </w:pPr>
      <w:r>
        <w:rPr>
          <w:b w:val="0"/>
          <w:color w:val="111827"/>
          <w:sz w:val="21"/>
        </w:rPr>
        <w:t>Att investera i aktier är att äga en liten del av ett företag. Du delar i dess framgångar — och i dess misslyckanden. Det är inte gambling, men det är inte heller en sparränta. Det är en avtalsrelation med en okänd framtid, och det är viktigt att förstå det innan man börjar.</w:t>
      </w:r>
    </w:p>
    <w:p>
      <w:pPr>
        <w:spacing w:after="120"/>
      </w:pPr>
      <w:r>
        <w:rPr>
          <w:b/>
          <w:color w:val="0EA5E9"/>
          <w:sz w:val="24"/>
        </w:rPr>
        <w:t>Aktiemarknadens grundläggande natur</w:t>
      </w:r>
    </w:p>
    <w:p>
      <w:pPr>
        <w:spacing w:after="120"/>
      </w:pPr>
      <w:r>
        <w:rPr>
          <w:b w:val="0"/>
          <w:color w:val="111827"/>
          <w:sz w:val="21"/>
        </w:rPr>
        <w:t>Aktiemarknadens långsiktiga trend har historiskt gått uppåt — S&amp;P 500 har levererat ungefär 10 % per år i genomsnitt sedan 1957, justerat för inflation ca 7 %. Men den trenden är inte jämn. Det finns år med -40 %, kvartal med panik och månader av brutal korrigering. Den som förblir investerad och inte säljer i panik har historiskt belönats. Den som försöker tajma marknaden har historiskt misslyckats — även professionella fondförvaltare slår sällan index konsekvent.</w:t>
      </w:r>
    </w:p>
    <w:p>
      <w:pPr>
        <w:spacing w:after="120"/>
      </w:pPr>
      <w:r>
        <w:rPr>
          <w:b w:val="0"/>
          <w:color w:val="6B7280"/>
          <w:sz w:val="24"/>
        </w:rPr>
        <w:t>"Time in the market beats timing the market."</w:t>
      </w:r>
    </w:p>
    <w:p>
      <w:pPr>
        <w:spacing w:after="120"/>
      </w:pPr>
      <w:r>
        <w:rPr>
          <w:b w:val="0"/>
          <w:color w:val="111827"/>
          <w:sz w:val="21"/>
        </w:rPr>
        <w:t>Det är den viktigaste meningen i hela investeringsvärlden. Och det är skälet till att Ankaret-kategorin — indexfonder — aldrig säljs vid en dipp. Du väntar ut stormen. Du låter tid göra jobbet.</w:t>
      </w:r>
    </w:p>
    <w:p>
      <w:pPr>
        <w:spacing w:after="120"/>
      </w:pPr>
      <w:r>
        <w:rPr>
          <w:b/>
          <w:color w:val="0EA5E9"/>
          <w:sz w:val="24"/>
        </w:rPr>
        <w:t>Diversifiering — den enda gratislunchen</w:t>
      </w:r>
    </w:p>
    <w:p>
      <w:pPr>
        <w:spacing w:after="120"/>
      </w:pPr>
      <w:r>
        <w:rPr>
          <w:b w:val="0"/>
          <w:color w:val="111827"/>
          <w:sz w:val="21"/>
        </w:rPr>
        <w:t>Finansteori har bevisat att diversifiering minskar risk utan att offra avkastning, upp till en viss punkt. Att äga 20 aktier i olika branscher ger nästan lika låg volatilitet som att äga 500 — men att äga 2 ger dramatiskt mycket högre risk än att äga 20. Strategiportföljens sex kategorier syftar till att sprida risk geografiskt, sektorsmässigt och tidsmässigt — kortsiktig tillväxt, långsiktig stabilitet, utdelningar idag och potential imorgon.</w:t>
      </w:r>
    </w:p>
    <w:p>
      <w:pPr>
        <w:spacing w:after="120"/>
      </w:pPr>
      <w:r>
        <w:rPr>
          <w:b/>
          <w:color w:val="0EA5E9"/>
          <w:sz w:val="24"/>
        </w:rPr>
        <w:t>Psykologin — det svåraste verktyget</w:t>
      </w:r>
    </w:p>
    <w:p>
      <w:pPr>
        <w:spacing w:after="120"/>
      </w:pPr>
      <w:r>
        <w:rPr>
          <w:b w:val="0"/>
          <w:color w:val="111827"/>
          <w:sz w:val="21"/>
        </w:rPr>
        <w:t>Ingen investerares värsta fiende är marknaden. Det är investeraren själv. Rädsla säljer på botten. Girighet köper på toppen. Confirmation bias leder till att man bara läser det man redan tror. Appen motverkar det genom att vara objektiv: MA200 är vad den är, portföljvikten är vad den är, avkastningen är vad den är. Det finns ingen känsla i ett diagram — bara data.</w:t>
      </w:r>
    </w:p>
    <w:p>
      <w:pPr>
        <w:pStyle w:val="ListBullet"/>
        <w:spacing w:after="80"/>
      </w:pPr>
      <w:r>
        <w:rPr>
          <w:b w:val="0"/>
          <w:color w:val="111827"/>
          <w:sz w:val="21"/>
        </w:rPr>
        <w:t>Rädsla och girighet är de vanligaste orsakerna till dåliga investeringsbeslut.</w:t>
      </w:r>
    </w:p>
    <w:p>
      <w:pPr>
        <w:pStyle w:val="ListBullet"/>
        <w:spacing w:after="80"/>
      </w:pPr>
      <w:r>
        <w:rPr>
          <w:b w:val="0"/>
          <w:color w:val="111827"/>
          <w:sz w:val="21"/>
        </w:rPr>
        <w:t>En strategi med regler minskar utrymmet för impulsiva beslut.</w:t>
      </w:r>
    </w:p>
    <w:p>
      <w:pPr>
        <w:pStyle w:val="ListBullet"/>
        <w:spacing w:after="80"/>
      </w:pPr>
      <w:r>
        <w:rPr>
          <w:b w:val="0"/>
          <w:color w:val="111827"/>
          <w:sz w:val="21"/>
        </w:rPr>
        <w:t>Beslutloggen tvingar dig att motivera dina köp och sälj — vilket förbättrar beslutskvaliteten över tid.</w:t>
      </w:r>
    </w:p>
    <w:p>
      <w:pPr>
        <w:spacing w:after="120"/>
      </w:pPr>
      <w:r>
        <w:rPr>
          <w:b/>
          <w:color w:val="0EA5E9"/>
          <w:sz w:val="24"/>
        </w:rPr>
        <w:t>Utdelningar — pengarna som arbetar medan du sover</w:t>
      </w:r>
    </w:p>
    <w:p>
      <w:pPr>
        <w:spacing w:after="120"/>
      </w:pPr>
      <w:r>
        <w:rPr>
          <w:b w:val="0"/>
          <w:color w:val="111827"/>
          <w:sz w:val="21"/>
        </w:rPr>
        <w:t>Utdelningsaktier delar ut en del av vinsten direkt till aktieägarna, vanligen en till fyra gånger per år. En aktie som ger 4 % direktavkastning och återinvesteras varje år fördubblar din position på 18 år via ränta-på-ränta — utan att aktiekursen rört sig ett öre. Kassaflödes-kategorin är byggd för att dra nytta av just detta. Utdelningskalendern i v3.0 visar förväntade utbetalningar baserat på historiska utdelningsmånader — planera likvidieten i god tid.</w:t>
      </w:r>
    </w:p>
    <w:p/>
    <w:p>
      <w:pPr>
        <w:spacing w:after="120"/>
      </w:pPr>
      <w:r>
        <w:rPr>
          <w:b/>
          <w:color w:val="1E3A5F"/>
          <w:sz w:val="32"/>
        </w:rPr>
        <w:t>4. Risker och verkligheten</w:t>
      </w:r>
    </w:p>
    <w:p>
      <w:pPr>
        <w:spacing w:after="120"/>
      </w:pPr>
      <w:r>
        <w:rPr>
          <w:b/>
          <w:color w:val="0EA5E9"/>
          <w:sz w:val="24"/>
        </w:rPr>
        <w:t>v3.0: Signaler samlas, risker syns — men de försvinner inte av sig själva</w:t>
      </w:r>
    </w:p>
    <w:p>
      <w:pPr>
        <w:spacing w:after="120"/>
      </w:pPr>
      <w:r>
        <w:rPr>
          <w:b w:val="0"/>
          <w:color w:val="111827"/>
          <w:sz w:val="21"/>
        </w:rPr>
        <w:t>⚠  Pengar du placerar på börsen är pengar du är beredd att förlora. Det är inte en klyscha — det är ett kontrakt med verkligheten.</w:t>
      </w:r>
    </w:p>
    <w:p>
      <w:pPr>
        <w:spacing w:after="120"/>
      </w:pPr>
      <w:r>
        <w:rPr>
          <w:b w:val="0"/>
          <w:color w:val="111827"/>
          <w:sz w:val="21"/>
        </w:rPr>
        <w:t>Det är möjligt att förlora hela det investerade kapitalet i enskilda aktier. Bolag kan gå i konkurs, sektorer kan kollapsera, makroekonomiska kriser kan halvera en portfölj på månader. Ingen strategi — inte ens den bästa — eliminerar marknadsrisk. Strategin minimerar den.</w:t>
      </w:r>
    </w:p>
    <w:p>
      <w:pPr>
        <w:spacing w:after="120"/>
      </w:pPr>
      <w:r>
        <w:rPr>
          <w:b/>
          <w:color w:val="0EA5E9"/>
          <w:sz w:val="24"/>
        </w:rPr>
        <w:t>Typer av risk du tar</w:t>
      </w:r>
    </w:p>
    <w:p>
      <w:pPr>
        <w:spacing w:after="120"/>
      </w:pPr>
      <w:r>
        <w:rPr>
          <w:b/>
          <w:color w:val="111827"/>
          <w:sz w:val="21"/>
        </w:rPr>
        <w:t xml:space="preserve">Bolagsrisk:  </w:t>
      </w:r>
      <w:r>
        <w:rPr>
          <w:b w:val="0"/>
          <w:color w:val="111827"/>
          <w:sz w:val="21"/>
        </w:rPr>
        <w:t>Enskilda bolag kan misslyckas. Enron, Lehman Brothers, Nokia — de slog mot noll. Motmedel: diversifiering. Aldrig mer än 5–10 % av portföljvärdet i ett enda innehåv. Koncentrationsrisken visas nu direkt i Innehåv-tabellen med färgvarning vid &gt;8 % och &gt;12 %.</w:t>
      </w:r>
    </w:p>
    <w:p>
      <w:pPr>
        <w:spacing w:after="120"/>
      </w:pPr>
      <w:r>
        <w:rPr>
          <w:b/>
          <w:color w:val="111827"/>
          <w:sz w:val="21"/>
        </w:rPr>
        <w:t xml:space="preserve">Sektorrisk:  </w:t>
      </w:r>
      <w:r>
        <w:rPr>
          <w:b w:val="0"/>
          <w:color w:val="111827"/>
          <w:sz w:val="21"/>
        </w:rPr>
        <w:t>En hel bransch kan gå fel. Banker 2008, tech 2000, energi 2015. Motmedel: kategorierna täcker flera sektorer med olika konjunkturkänslighet.</w:t>
      </w:r>
    </w:p>
    <w:p>
      <w:pPr>
        <w:spacing w:after="120"/>
      </w:pPr>
      <w:r>
        <w:rPr>
          <w:b/>
          <w:color w:val="111827"/>
          <w:sz w:val="21"/>
        </w:rPr>
        <w:t xml:space="preserve">Valutarisk:  </w:t>
      </w:r>
      <w:r>
        <w:rPr>
          <w:b w:val="0"/>
          <w:color w:val="111827"/>
          <w:sz w:val="21"/>
        </w:rPr>
        <w:t>USD/SEK kan röra sig 15–20 % på ett år. En NVIDIA-position kan se ut att ha gått upp i SEK medan den gått ned i USD. Motmedel: FX-motorn separerar bolagsvinst från valutavinst. FX-exponeringsöversikten på Dashboard visar total valutafördelning i portföljen.</w:t>
      </w:r>
    </w:p>
    <w:p>
      <w:pPr>
        <w:spacing w:after="120"/>
      </w:pPr>
      <w:r>
        <w:rPr>
          <w:b/>
          <w:color w:val="111827"/>
          <w:sz w:val="21"/>
        </w:rPr>
        <w:t xml:space="preserve">Likviditetsrisk:  </w:t>
      </w:r>
      <w:r>
        <w:rPr>
          <w:b w:val="0"/>
          <w:color w:val="111827"/>
          <w:sz w:val="21"/>
        </w:rPr>
        <w:t>Pengar i aktier är inte kontanter. Du kan inte ta ut dem på en sekund. Motmedel: investera aldrig kapital du behöver inom 1–3 år.</w:t>
      </w:r>
    </w:p>
    <w:p>
      <w:pPr>
        <w:spacing w:after="120"/>
      </w:pPr>
      <w:r>
        <w:rPr>
          <w:b/>
          <w:color w:val="111827"/>
          <w:sz w:val="21"/>
        </w:rPr>
        <w:t xml:space="preserve">Ränterisk:  </w:t>
      </w:r>
      <w:r>
        <w:rPr>
          <w:b w:val="0"/>
          <w:color w:val="111827"/>
          <w:sz w:val="21"/>
        </w:rPr>
        <w:t>Höga räntor pressar aktievärderingar, särskilt i tillväxtsektorer. Motmedel: en del av portföljen i utdelningsaktier och realtillgångar.</w:t>
      </w:r>
    </w:p>
    <w:p>
      <w:pPr>
        <w:spacing w:after="120"/>
      </w:pPr>
      <w:r>
        <w:rPr>
          <w:b/>
          <w:color w:val="111827"/>
          <w:sz w:val="21"/>
        </w:rPr>
        <w:t xml:space="preserve">Beteenderisk:  </w:t>
      </w:r>
      <w:r>
        <w:rPr>
          <w:b w:val="0"/>
          <w:color w:val="111827"/>
          <w:sz w:val="21"/>
        </w:rPr>
        <w:t>Du säljer i panik vid -30 % och köper tillbaka när marknaden är upp +40 %. Det är den vanligaste och dyraste misstaget. Motmedel: en strategi med regler, en beslutlogg, och att aldrig investera mer än du sover gott med.</w:t>
      </w:r>
    </w:p>
    <w:p>
      <w:pPr>
        <w:spacing w:after="120"/>
      </w:pPr>
      <w:r>
        <w:rPr>
          <w:b/>
          <w:color w:val="111827"/>
          <w:sz w:val="21"/>
        </w:rPr>
        <w:t xml:space="preserve">Skatteoptimering:  </w:t>
      </w:r>
      <w:r>
        <w:rPr>
          <w:b w:val="0"/>
          <w:color w:val="111827"/>
          <w:sz w:val="21"/>
        </w:rPr>
        <w:t>ISK-schablonbeskattningen beror på insättningstajming. Stor insättning sent på kvartalet höjer kapitalunderlaget utan att portföljen hunnit växa. ISK-sektionen i v3.0 visar tajmingsåverkan och räknar ut prognos för årets skatt.</w:t>
      </w:r>
    </w:p>
    <w:p>
      <w:pPr>
        <w:spacing w:after="120"/>
      </w:pPr>
      <w:r>
        <w:rPr>
          <w:b/>
          <w:color w:val="0EA5E9"/>
          <w:sz w:val="24"/>
        </w:rPr>
        <w:t>Målet är tillväxt — med öppna ögon</w:t>
      </w:r>
    </w:p>
    <w:p>
      <w:pPr>
        <w:spacing w:after="120"/>
      </w:pPr>
      <w:r>
        <w:rPr>
          <w:b w:val="0"/>
          <w:color w:val="111827"/>
          <w:sz w:val="21"/>
        </w:rPr>
        <w:t>Syftet med Strategiportföljen är inte att undvika risk. Det är att ta välkalibrerad risk — mer risk på det du förstår och tror på, mindre risk på det du inte gör. Ankaret ger dig marknadsuppgång med låg risk. Berättelserna ger dig chansen till home runs med liten insats. Däremellan bygger du en portfölj som kan stå upp i storm.</w:t>
      </w:r>
    </w:p>
    <w:p>
      <w:pPr>
        <w:spacing w:after="120"/>
      </w:pPr>
      <w:r>
        <w:rPr>
          <w:b w:val="0"/>
          <w:color w:val="6B7280"/>
          <w:sz w:val="24"/>
        </w:rPr>
        <w:t>"The stock market is a device for transferring money from the impatient to the patient. — Warren Buffett"</w:t>
      </w:r>
    </w:p>
    <w:p>
      <w:pPr>
        <w:spacing w:after="120"/>
      </w:pPr>
      <w:r>
        <w:rPr>
          <w:b/>
          <w:color w:val="0EA5E9"/>
          <w:sz w:val="24"/>
        </w:rPr>
        <w:t>Nödutgångar — när allt annat sviker</w:t>
      </w:r>
    </w:p>
    <w:p>
      <w:pPr>
        <w:spacing w:after="120"/>
      </w:pPr>
      <w:r>
        <w:rPr>
          <w:b w:val="0"/>
          <w:color w:val="111827"/>
          <w:sz w:val="21"/>
        </w:rPr>
        <w:t>Utöver MA200-regeln beräknar appen nödutgångar: om en aktie faller till 90 % av ditt genomsnittliga anskaffningsvärde (GAV), visas en signal. För kategorier 3–6 är detta en hård stopp — tid att omvärdera eller sälja. För kategorier 1–2 är det en mjuk varning — tid att köpa mer, om du tror på bolaget. Alla nödutgångar aggregeras i Signaler-fliken så du missar ingenting.</w:t>
      </w:r>
    </w:p>
    <w:p>
      <w:pPr>
        <w:spacing w:after="120"/>
      </w:pPr>
      <w:r>
        <w:rPr>
          <w:b w:val="0"/>
          <w:color w:val="111827"/>
          <w:sz w:val="21"/>
        </w:rPr>
        <w:t>Disciplin i nedsida är lika viktigt som disciplin i uppsida. Den som inte vet när de ska sälja, vet egentligen inte varför de köpte.</w:t>
      </w:r>
    </w:p>
    <w:p/>
    <w:p>
      <w:pPr>
        <w:spacing w:after="120"/>
      </w:pPr>
      <w:r>
        <w:rPr>
          <w:b/>
          <w:color w:val="1E3A5F"/>
          <w:sz w:val="32"/>
        </w:rPr>
        <w:t>5. Appens funktioner i korthet</w:t>
      </w:r>
    </w:p>
    <w:p>
      <w:pPr>
        <w:spacing w:after="120"/>
      </w:pPr>
      <w:r>
        <w:rPr>
          <w:b/>
          <w:color w:val="0EA5E9"/>
          <w:sz w:val="24"/>
        </w:rPr>
        <w:t>v3.0: Tretton nya instrument — allt i ett enda index.html</w:t>
      </w:r>
    </w:p>
    <w:p>
      <w:pPr>
        <w:spacing w:after="120"/>
      </w:pPr>
      <w:r>
        <w:rPr>
          <w:b/>
          <w:color w:val="1E3A5F"/>
          <w:sz w:val="21"/>
        </w:rPr>
        <w:t xml:space="preserve">▸  Dashboard  — </w:t>
      </w:r>
      <w:r>
        <w:rPr>
          <w:b w:val="0"/>
          <w:color w:val="111827"/>
          <w:sz w:val="21"/>
        </w:rPr>
        <w:t>Portföljöversikt med signalband, nyckeltal, FX-exponeringsdonut och valutapills, kategoridonut, avkastningsstaplar per kategori och utdelningskalender. Allt uppdateras för vald period.</w:t>
      </w:r>
    </w:p>
    <w:p>
      <w:pPr>
        <w:spacing w:after="120"/>
      </w:pPr>
      <w:r>
        <w:rPr>
          <w:b/>
          <w:color w:val="1E3A5F"/>
          <w:sz w:val="21"/>
        </w:rPr>
        <w:t xml:space="preserve">▸  Signaler  — </w:t>
      </w:r>
      <w:r>
        <w:rPr>
          <w:b w:val="0"/>
          <w:color w:val="111827"/>
          <w:sz w:val="21"/>
        </w:rPr>
        <w:t>Samlad åtgärdsvy med säljsignaler, bevakningslista, nödutgångar, ombalansering och hög koncentration. Tomtillstånd: „Ingen åtgärd krävs. Portföljen mår bra.‟</w:t>
      </w:r>
    </w:p>
    <w:p>
      <w:pPr>
        <w:spacing w:after="120"/>
      </w:pPr>
      <w:r>
        <w:rPr>
          <w:b/>
          <w:color w:val="1E3A5F"/>
          <w:sz w:val="21"/>
        </w:rPr>
        <w:t xml:space="preserve">▸  Kategorier  — </w:t>
      </w:r>
      <w:r>
        <w:rPr>
          <w:b w:val="0"/>
          <w:color w:val="111827"/>
          <w:sz w:val="21"/>
        </w:rPr>
        <w:t>Ett kort per kategori med avkastningsbadge per period och ombalanseringsassistent. Sub-tab „Jämför kategorier‟ visar indexerat linjediagram (start = 100) för vald period.</w:t>
      </w:r>
    </w:p>
    <w:p>
      <w:pPr>
        <w:spacing w:after="120"/>
      </w:pPr>
      <w:r>
        <w:rPr>
          <w:b/>
          <w:color w:val="1E3A5F"/>
          <w:sz w:val="21"/>
        </w:rPr>
        <w:t xml:space="preserve">▸  Innehåv  — </w:t>
      </w:r>
      <w:r>
        <w:rPr>
          <w:b w:val="0"/>
          <w:color w:val="111827"/>
          <w:sz w:val="21"/>
        </w:rPr>
        <w:t>Alla positioner i en sorterbar tabell. Klicka på kolumnrubrik för att sortera. Ny Andel-kolumn med färgvarning vid hög koncentration. Sektionen „📡 Tickers &amp; MA200‟ hanterar börssymboler och automatisk MA200-hämtning via Alpha Vantage.</w:t>
      </w:r>
    </w:p>
    <w:p>
      <w:pPr>
        <w:spacing w:after="120"/>
      </w:pPr>
      <w:r>
        <w:rPr>
          <w:b/>
          <w:color w:val="1E3A5F"/>
          <w:sz w:val="21"/>
        </w:rPr>
        <w:t xml:space="preserve">▸  Transaktioner  — </w:t>
      </w:r>
      <w:r>
        <w:rPr>
          <w:b w:val="0"/>
          <w:color w:val="111827"/>
          <w:sz w:val="21"/>
        </w:rPr>
        <w:t>Komplett historik från Avanza. Utdelningar kopplas automatiskt till rätt aktie via ISIN.</w:t>
      </w:r>
    </w:p>
    <w:p>
      <w:pPr>
        <w:spacing w:after="120"/>
      </w:pPr>
      <w:r>
        <w:rPr>
          <w:b/>
          <w:color w:val="1E3A5F"/>
          <w:sz w:val="21"/>
        </w:rPr>
        <w:t xml:space="preserve">▸  Beslutlogg  — </w:t>
      </w:r>
      <w:r>
        <w:rPr>
          <w:b w:val="0"/>
          <w:color w:val="111827"/>
          <w:sz w:val="21"/>
        </w:rPr>
        <w:t>Veckovisa anteckningar om marknad och beslut. Exporterbar som CSV och Excel.</w:t>
      </w:r>
    </w:p>
    <w:p>
      <w:pPr>
        <w:spacing w:after="120"/>
      </w:pPr>
      <w:r>
        <w:rPr>
          <w:b/>
          <w:color w:val="1E3A5F"/>
          <w:sz w:val="21"/>
        </w:rPr>
        <w:t xml:space="preserve">▸  Diagram  — </w:t>
      </w:r>
      <w:r>
        <w:rPr>
          <w:b w:val="0"/>
          <w:color w:val="111827"/>
          <w:sz w:val="21"/>
        </w:rPr>
        <w:t>Värdeutveckling med global periodväljare och referenslinje för nettoinsat kapital. Byggs automatiskt från importerade positionsfiler.</w:t>
      </w:r>
    </w:p>
    <w:p>
      <w:pPr>
        <w:spacing w:after="120"/>
      </w:pPr>
      <w:r>
        <w:rPr>
          <w:b/>
          <w:color w:val="1E3A5F"/>
          <w:sz w:val="21"/>
        </w:rPr>
        <w:t xml:space="preserve">▸  Kassa  — </w:t>
      </w:r>
      <w:r>
        <w:rPr>
          <w:b w:val="0"/>
          <w:color w:val="111827"/>
          <w:sz w:val="21"/>
        </w:rPr>
        <w:t>Tillgängligt för köp per konto (ISK, AF, Sparkonto). ISK/KF-skattesektion med schablonintäktsprognos, insättningstajmings-varning och round-trip-varning.</w:t>
      </w:r>
    </w:p>
    <w:p>
      <w:pPr>
        <w:spacing w:after="120"/>
      </w:pPr>
      <w:r>
        <w:rPr>
          <w:b/>
          <w:color w:val="1E3A5F"/>
          <w:sz w:val="21"/>
        </w:rPr>
        <w:t xml:space="preserve">▸  Kategorier — hantera  — </w:t>
      </w:r>
      <w:r>
        <w:rPr>
          <w:b w:val="0"/>
          <w:color w:val="111827"/>
          <w:sz w:val="21"/>
        </w:rPr>
        <w:t>Lägg till, redigera och ta bort kategorier med namn, färg, emoji, MA200-regler och målvikter. Allt sparas lokalt.</w:t>
      </w:r>
    </w:p>
    <w:p>
      <w:pPr>
        <w:spacing w:after="120"/>
      </w:pPr>
      <w:r>
        <w:rPr>
          <w:b/>
          <w:color w:val="1E3A5F"/>
          <w:sz w:val="21"/>
        </w:rPr>
        <w:t xml:space="preserve">▸  Backup &amp; Återställning  — </w:t>
      </w:r>
      <w:r>
        <w:rPr>
          <w:b w:val="0"/>
          <w:color w:val="111827"/>
          <w:sz w:val="21"/>
        </w:rPr>
        <w:t>Exportera all portföljdata till Excel med 7 flikar. Importera tillbaka för fullständig återställning — t.ex. vid byte av enhet.</w:t>
      </w:r>
    </w:p>
    <w:p>
      <w:pPr>
        <w:spacing w:after="120"/>
      </w:pPr>
      <w:r>
        <w:rPr>
          <w:b/>
          <w:color w:val="1E3A5F"/>
          <w:sz w:val="21"/>
        </w:rPr>
        <w:t xml:space="preserve">▸  Manuell baslinje  — </w:t>
      </w:r>
      <w:r>
        <w:rPr>
          <w:b w:val="0"/>
          <w:color w:val="111827"/>
          <w:sz w:val="21"/>
        </w:rPr>
        <w:t>Ange ett datum och ett portföljvärde som fast startpunkt för avkastningsberäkningar — praktiskt om du saknar gamla positionsfiler.</w:t>
      </w:r>
    </w:p>
    <w:p>
      <w:pPr>
        <w:spacing w:after="120"/>
      </w:pPr>
      <w:r>
        <w:rPr>
          <w:b/>
          <w:color w:val="1E3A5F"/>
          <w:sz w:val="21"/>
        </w:rPr>
        <w:t xml:space="preserve">▸  Avstämningspanel  — </w:t>
      </w:r>
      <w:r>
        <w:rPr>
          <w:b w:val="0"/>
          <w:color w:val="111827"/>
          <w:sz w:val="21"/>
        </w:rPr>
        <w:t>4-stegs guidad jämförelse av portföljsiffror mot Avanzas totaler. Sparar avstämningshistorik.</w:t>
      </w:r>
    </w:p>
    <w:p>
      <w:pPr>
        <w:spacing w:after="120"/>
      </w:pPr>
      <w:r>
        <w:rPr>
          <w:b/>
          <w:color w:val="1E3A5F"/>
          <w:sz w:val="21"/>
        </w:rPr>
        <w:t xml:space="preserve">▸  Mörkt tema  — </w:t>
      </w:r>
      <w:r>
        <w:rPr>
          <w:b w:val="0"/>
          <w:color w:val="111827"/>
          <w:sz w:val="21"/>
        </w:rPr>
        <w:t>Klicka på ☀️/🌙-ikonen i headern för att växla tema. Sparas i webbläsaren.</w:t>
      </w:r>
    </w:p>
    <w:p/>
    <w:p>
      <w:pPr>
        <w:spacing w:after="120"/>
      </w:pPr>
      <w:r>
        <w:rPr>
          <w:b/>
          <w:color w:val="1E3A5F"/>
          <w:sz w:val="32"/>
        </w:rPr>
        <w:t>6. Kom igång på fem minuter</w:t>
      </w:r>
    </w:p>
    <w:p>
      <w:pPr>
        <w:spacing w:after="120"/>
      </w:pPr>
      <w:r>
        <w:rPr>
          <w:b/>
          <w:color w:val="0EA5E9"/>
          <w:sz w:val="24"/>
        </w:rPr>
        <w:t>v3.0: En ticker att fylla i — MA200 hämtar sig självt</w:t>
      </w:r>
    </w:p>
    <w:p>
      <w:pPr>
        <w:spacing w:after="120"/>
      </w:pPr>
      <w:r>
        <w:rPr>
          <w:b w:val="0"/>
          <w:color w:val="111827"/>
          <w:sz w:val="21"/>
        </w:rPr>
        <w:t>Steg 1: Öppna appen</w:t>
      </w:r>
    </w:p>
    <w:p>
      <w:pPr>
        <w:spacing w:after="120"/>
      </w:pPr>
      <w:r>
        <w:rPr>
          <w:b w:val="0"/>
          <w:color w:val="111827"/>
          <w:sz w:val="21"/>
        </w:rPr>
        <w:t>Gå till https://stockholmsvy1-droid.github.io/strategiportfoljen/ i Safari (iPad) eller valfri webbläsare på dator. Bokmärk sidan — du återkommer varje vecka.</w:t>
      </w:r>
    </w:p>
    <w:p>
      <w:pPr>
        <w:spacing w:after="120"/>
      </w:pPr>
      <w:r>
        <w:rPr>
          <w:b w:val="0"/>
          <w:color w:val="111827"/>
          <w:sz w:val="21"/>
        </w:rPr>
        <w:t>Steg 2: Exportera från Avanza</w:t>
      </w:r>
    </w:p>
    <w:p>
      <w:pPr>
        <w:spacing w:after="120"/>
      </w:pPr>
      <w:r>
        <w:rPr>
          <w:b w:val="0"/>
          <w:color w:val="111827"/>
          <w:sz w:val="21"/>
        </w:rPr>
        <w:t>Logga in på Avanza i webbläsaren (inte appen). Gå till:</w:t>
      </w:r>
    </w:p>
    <w:p>
      <w:pPr>
        <w:spacing w:after="120"/>
      </w:pPr>
      <w:r>
        <w:rPr>
          <w:b w:val="0"/>
          <w:color w:val="111827"/>
          <w:sz w:val="21"/>
        </w:rPr>
        <w:t>• Min ekonomi → Innehåv → Exportera → positioner_DATUM.csv</w:t>
      </w:r>
    </w:p>
    <w:p>
      <w:pPr>
        <w:spacing w:after="120"/>
      </w:pPr>
      <w:r>
        <w:rPr>
          <w:b w:val="0"/>
          <w:color w:val="111827"/>
          <w:sz w:val="21"/>
        </w:rPr>
        <w:t>• Min ekonomi → Transaktioner → Exportera transaktioner → transaktioner_DATUM.csv</w:t>
      </w:r>
    </w:p>
    <w:p>
      <w:pPr>
        <w:spacing w:after="120"/>
      </w:pPr>
      <w:r>
        <w:rPr>
          <w:b w:val="0"/>
          <w:color w:val="111827"/>
          <w:sz w:val="21"/>
        </w:rPr>
        <w:t>• (Första gången) Min ekonomi → Innehåv → Exportera inköpskurser → inkopskurs_DATUM.csv</w:t>
      </w:r>
    </w:p>
    <w:p>
      <w:pPr>
        <w:spacing w:after="120"/>
      </w:pPr>
      <w:r>
        <w:rPr>
          <w:b w:val="0"/>
          <w:color w:val="111827"/>
          <w:sz w:val="21"/>
        </w:rPr>
        <w:t>Steg 3: Importera filerna</w:t>
      </w:r>
    </w:p>
    <w:p>
      <w:pPr>
        <w:spacing w:after="120"/>
      </w:pPr>
      <w:r>
        <w:rPr>
          <w:b w:val="0"/>
          <w:color w:val="111827"/>
          <w:sz w:val="21"/>
        </w:rPr>
        <w:t>Gå till fliken Importera. Dra eller välj CSV-filerna i rätt kort. Appen läser dem och bygger upp innehåv, transaktioner och historik automatiskt.</w:t>
      </w:r>
    </w:p>
    <w:p>
      <w:pPr>
        <w:spacing w:after="120"/>
      </w:pPr>
      <w:r>
        <w:rPr>
          <w:b w:val="0"/>
          <w:color w:val="111827"/>
          <w:sz w:val="21"/>
        </w:rPr>
        <w:t>Steg 4: Sätt tickers för automatisk MA200</w:t>
      </w:r>
    </w:p>
    <w:p>
      <w:pPr>
        <w:spacing w:after="120"/>
      </w:pPr>
      <w:r>
        <w:rPr>
          <w:b w:val="0"/>
          <w:color w:val="111827"/>
          <w:sz w:val="21"/>
        </w:rPr>
        <w:t>Gå till Innehåv → 📡 Tickers &amp; MA200. Fyll i börssymbol per aktie (t.ex. SAAB-B.STO för svenska, NVDA för amerikanska). Skaffa en gratis API-nyckel på alphavantage.co och ange den i fältet. Klicka „Uppdatera alla MA200‟ — klart.</w:t>
      </w:r>
    </w:p>
    <w:p>
      <w:pPr>
        <w:spacing w:after="120"/>
      </w:pPr>
      <w:r>
        <w:rPr>
          <w:b w:val="0"/>
          <w:color w:val="111827"/>
          <w:sz w:val="21"/>
        </w:rPr>
        <w:t>Steg 5: Sätt manuell baslinje (valfritt)</w:t>
      </w:r>
    </w:p>
    <w:p>
      <w:pPr>
        <w:spacing w:after="120"/>
      </w:pPr>
      <w:r>
        <w:rPr>
          <w:b w:val="0"/>
          <w:color w:val="111827"/>
          <w:sz w:val="21"/>
        </w:rPr>
        <w:t>Om du saknar historiska positionsfiler: gå till Importera → Manuell baslinje. Ange ett datum och portföljvärdet vid det datumet. Appen använder det som startpunkt för alla avkastningsberäkningar framåt.</w:t>
      </w:r>
    </w:p>
    <w:p>
      <w:pPr>
        <w:spacing w:after="120"/>
      </w:pPr>
      <w:r>
        <w:rPr>
          <w:b w:val="0"/>
          <w:color w:val="111827"/>
          <w:sz w:val="21"/>
        </w:rPr>
        <w:t>Steg 6: Anpassa kategorier (valfritt)</w:t>
      </w:r>
    </w:p>
    <w:p>
      <w:pPr>
        <w:spacing w:after="120"/>
      </w:pPr>
      <w:r>
        <w:rPr>
          <w:b w:val="0"/>
          <w:color w:val="111827"/>
          <w:sz w:val="21"/>
        </w:rPr>
        <w:t>Gå till Kategorier-fliken och byt namn, färg eller MA200-regler till det som passar din strategi.</w:t>
      </w:r>
    </w:p>
    <w:p>
      <w:pPr>
        <w:spacing w:after="120"/>
      </w:pPr>
      <w:r>
        <w:rPr>
          <w:b w:val="0"/>
          <w:color w:val="111827"/>
          <w:sz w:val="21"/>
        </w:rPr>
        <w:t>Steg 7: Exportera backup</w:t>
      </w:r>
    </w:p>
    <w:p>
      <w:pPr>
        <w:spacing w:after="120"/>
      </w:pPr>
      <w:r>
        <w:rPr>
          <w:b w:val="0"/>
          <w:color w:val="111827"/>
          <w:sz w:val="21"/>
        </w:rPr>
        <w:t>Gå till Importera → Backup &amp; Återställning → Ladda ner Excel-backup. Spara filen i iCloud eller OneDrive. Gör detta varje vecka.</w:t>
      </w:r>
    </w:p>
    <w:p/>
    <w:p>
      <w:pPr>
        <w:spacing w:after="120"/>
      </w:pPr>
      <w:r>
        <w:rPr>
          <w:b w:val="0"/>
          <w:color w:val="6B7280"/>
          <w:sz w:val="21"/>
        </w:rPr>
        <w:t>Strategiportföljen v3.0  ·  Byggt för Martin  ·  Strategi från januari 2026</w:t>
      </w:r>
    </w:p>
    <w:p>
      <w:r>
        <w:br w:type="page"/>
      </w:r>
    </w:p>
    <w:p>
      <w:pPr>
        <w:spacing w:after="160"/>
      </w:pPr>
      <w:r>
        <w:rPr>
          <w:b/>
          <w:color w:val="1E3A5F"/>
          <w:sz w:val="40"/>
        </w:rPr>
        <w:t>Appendix A — För dig som vill kontrollräkna för hand</w:t>
      </w:r>
    </w:p>
    <w:p>
      <w:pPr>
        <w:spacing w:after="100"/>
      </w:pPr>
      <w:r>
        <w:rPr>
          <w:color w:val="111827"/>
          <w:sz w:val="22"/>
        </w:rPr>
        <w:t>Alla siffror appen visar kan reproduceras med formlerna nedan. Använd dem för att dubbelkolla en siffra, förstå exakt vad appen beräknar, eller för att köra stickprov mot Avanzas siffror.</w:t>
      </w:r>
    </w:p>
    <w:p>
      <w:pPr>
        <w:spacing w:before="240" w:after="80"/>
      </w:pPr>
      <w:r>
        <w:rPr>
          <w:b/>
          <w:color w:val="1E3A5F"/>
          <w:sz w:val="26"/>
        </w:rPr>
        <w:t>1. Portföljens totala marknadsvärde</w:t>
      </w:r>
    </w:p>
    <w:p>
      <w:pPr>
        <w:spacing w:after="100"/>
      </w:pPr>
      <w:r>
        <w:rPr>
          <w:color w:val="111827"/>
          <w:sz w:val="22"/>
        </w:rPr>
        <w:t>Det totala portföljvärdet är summan av alla innehavs marknadsvärden plus kassan:</w:t>
      </w:r>
    </w:p>
    <w:p>
      <w:pPr>
        <w:spacing w:after="60"/>
        <w:ind w:left="360"/>
      </w:pPr>
      <w:r>
        <w:rPr>
          <w:b/>
          <w:color w:val="1E3A5F"/>
          <w:sz w:val="22"/>
        </w:rPr>
        <w:t xml:space="preserve">Totalt värde: </w:t>
      </w:r>
      <w:r>
        <w:rPr>
          <w:rFonts w:ascii="Courier New" w:hAnsi="Courier New"/>
          <w:color w:val="1D4ED8"/>
          <w:sz w:val="21"/>
        </w:rPr>
        <w:t>Σ (Antal × Aktuell kurs i SEK) + Kassa</w:t>
      </w:r>
    </w:p>
    <w:p>
      <w:pPr>
        <w:spacing w:after="100"/>
      </w:pPr>
      <w:r>
        <w:rPr>
          <w:color w:val="111827"/>
          <w:sz w:val="22"/>
        </w:rPr>
        <w:t>För utländska innehav: Lokal kurs × FX-kurs (SEK per utländsk valutaenhet) = SEK-kurs. Kassa = positionskassa från importfilen + manuellt angivet saldo.</w:t>
      </w:r>
    </w:p>
    <w:p>
      <w:pPr>
        <w:spacing w:before="240" w:after="80"/>
      </w:pPr>
      <w:r>
        <w:rPr>
          <w:b/>
          <w:color w:val="1E3A5F"/>
          <w:sz w:val="26"/>
        </w:rPr>
        <w:t>2. Orealiserad vinst/förlust per innehav</w:t>
      </w:r>
    </w:p>
    <w:p>
      <w:pPr>
        <w:spacing w:after="60"/>
        <w:ind w:left="360"/>
      </w:pPr>
      <w:r>
        <w:rPr>
          <w:b/>
          <w:color w:val="1E3A5F"/>
          <w:sz w:val="22"/>
        </w:rPr>
        <w:t xml:space="preserve">Vinst (kr): </w:t>
      </w:r>
      <w:r>
        <w:rPr>
          <w:rFonts w:ascii="Courier New" w:hAnsi="Courier New"/>
          <w:color w:val="1D4ED8"/>
          <w:sz w:val="21"/>
        </w:rPr>
        <w:t>Antal × Aktuell kurs − Antal × GAV</w:t>
      </w:r>
    </w:p>
    <w:p>
      <w:pPr>
        <w:spacing w:after="60"/>
        <w:ind w:left="360"/>
      </w:pPr>
      <w:r>
        <w:rPr>
          <w:b/>
          <w:color w:val="1E3A5F"/>
          <w:sz w:val="22"/>
        </w:rPr>
        <w:t xml:space="preserve">Vinst (%): </w:t>
      </w:r>
      <w:r>
        <w:rPr>
          <w:rFonts w:ascii="Courier New" w:hAnsi="Courier New"/>
          <w:color w:val="1D4ED8"/>
          <w:sz w:val="21"/>
        </w:rPr>
        <w:t>(Aktuell kurs − GAV) / GAV × 100</w:t>
      </w:r>
    </w:p>
    <w:p>
      <w:pPr>
        <w:spacing w:after="120"/>
        <w:ind w:left="288"/>
      </w:pPr>
      <w:r>
        <w:rPr>
          <w:i/>
          <w:color w:val="6B7280"/>
          <w:sz w:val="20"/>
        </w:rPr>
        <w:t>ℹ️  GAV = Genomsnittligt anskaffningsvärde i SEK (kurs du köpte till, inklusive courtage).</w:t>
      </w:r>
    </w:p>
    <w:p>
      <w:pPr>
        <w:spacing w:before="240" w:after="80"/>
      </w:pPr>
      <w:r>
        <w:rPr>
          <w:b/>
          <w:color w:val="1E3A5F"/>
          <w:sz w:val="26"/>
        </w:rPr>
        <w:t>3. FX-dekomponering: bolagsvinst vs. valutavinst</w:t>
      </w:r>
    </w:p>
    <w:p>
      <w:pPr>
        <w:spacing w:after="100"/>
      </w:pPr>
      <w:r>
        <w:rPr>
          <w:color w:val="111827"/>
          <w:sz w:val="22"/>
        </w:rPr>
        <w:t>För utländska innehav (t.ex. NVIDIA i USD) separerar appen vinst i två delar:</w:t>
      </w:r>
    </w:p>
    <w:p>
      <w:pPr>
        <w:spacing w:after="60"/>
        <w:ind w:left="360"/>
      </w:pPr>
      <w:r>
        <w:rPr>
          <w:b/>
          <w:color w:val="1E3A5F"/>
          <w:sz w:val="22"/>
        </w:rPr>
        <w:t xml:space="preserve">Historisk FX: </w:t>
      </w:r>
      <w:r>
        <w:rPr>
          <w:rFonts w:ascii="Courier New" w:hAnsi="Courier New"/>
          <w:color w:val="1D4ED8"/>
          <w:sz w:val="21"/>
        </w:rPr>
        <w:t>GAV (SEK) / GAV (lokal valuta)</w:t>
      </w:r>
    </w:p>
    <w:p>
      <w:pPr>
        <w:spacing w:after="60"/>
        <w:ind w:left="360"/>
      </w:pPr>
      <w:r>
        <w:rPr>
          <w:b/>
          <w:color w:val="1E3A5F"/>
          <w:sz w:val="22"/>
        </w:rPr>
        <w:t xml:space="preserve">Lokal kurs nu: </w:t>
      </w:r>
      <w:r>
        <w:rPr>
          <w:rFonts w:ascii="Courier New" w:hAnsi="Courier New"/>
          <w:color w:val="1D4ED8"/>
          <w:sz w:val="21"/>
        </w:rPr>
        <w:t>Aktuell SEK-kurs / Historisk FX</w:t>
      </w:r>
    </w:p>
    <w:p>
      <w:pPr>
        <w:spacing w:after="60"/>
        <w:ind w:left="360"/>
      </w:pPr>
      <w:r>
        <w:rPr>
          <w:b/>
          <w:color w:val="1E3A5F"/>
          <w:sz w:val="22"/>
        </w:rPr>
        <w:t xml:space="preserve">Bolagsvinst: </w:t>
      </w:r>
      <w:r>
        <w:rPr>
          <w:rFonts w:ascii="Courier New" w:hAnsi="Courier New"/>
          <w:color w:val="1D4ED8"/>
          <w:sz w:val="21"/>
        </w:rPr>
        <w:t>(Lokal kurs nu − GAV lokal) × Antal × Aktuell FX</w:t>
      </w:r>
    </w:p>
    <w:p>
      <w:pPr>
        <w:spacing w:after="60"/>
        <w:ind w:left="360"/>
      </w:pPr>
      <w:r>
        <w:rPr>
          <w:b/>
          <w:color w:val="1E3A5F"/>
          <w:sz w:val="22"/>
        </w:rPr>
        <w:t xml:space="preserve">Valutavinst: </w:t>
      </w:r>
      <w:r>
        <w:rPr>
          <w:rFonts w:ascii="Courier New" w:hAnsi="Courier New"/>
          <w:color w:val="1D4ED8"/>
          <w:sz w:val="21"/>
        </w:rPr>
        <w:t>Total vinst (SEK) − Bolagsvinst</w:t>
      </w:r>
    </w:p>
    <w:p>
      <w:pPr>
        <w:spacing w:after="120"/>
        <w:ind w:left="288"/>
      </w:pPr>
      <w:r>
        <w:rPr>
          <w:i/>
          <w:color w:val="6B7280"/>
          <w:sz w:val="20"/>
        </w:rPr>
        <w:t>ℹ️  Exempel: Köpte NVDA till 900 kr ($100) → Historisk FX = 9,00. Nu: $130, FX = 10,50. Lokal kurs = 130. Bolagsvinst = (130−100) × antal × 10,50. Valutavinst = Total vinst − Bolagsvinst.</w:t>
      </w:r>
    </w:p>
    <w:p>
      <w:pPr>
        <w:spacing w:before="240" w:after="80"/>
      </w:pPr>
      <w:r>
        <w:rPr>
          <w:b/>
          <w:color w:val="1E3A5F"/>
          <w:sz w:val="26"/>
        </w:rPr>
        <w:t>4. Avkastning för en period</w:t>
      </w:r>
    </w:p>
    <w:p>
      <w:pPr>
        <w:spacing w:after="60"/>
        <w:ind w:left="360"/>
      </w:pPr>
      <w:r>
        <w:rPr>
          <w:b/>
          <w:color w:val="1E3A5F"/>
          <w:sz w:val="22"/>
        </w:rPr>
        <w:t xml:space="preserve">Startpunkt: </w:t>
      </w:r>
      <w:r>
        <w:rPr>
          <w:rFonts w:ascii="Courier New" w:hAnsi="Courier New"/>
          <w:color w:val="1D4ED8"/>
          <w:sz w:val="21"/>
        </w:rPr>
        <w:t>Närmaste importerade portföljvärde på eller före periodens startdatum</w:t>
      </w:r>
    </w:p>
    <w:p>
      <w:pPr>
        <w:spacing w:after="60"/>
        <w:ind w:left="360"/>
      </w:pPr>
      <w:r>
        <w:rPr>
          <w:b/>
          <w:color w:val="1E3A5F"/>
          <w:sz w:val="22"/>
        </w:rPr>
        <w:t xml:space="preserve">Nettoinflöde: </w:t>
      </w:r>
      <w:r>
        <w:rPr>
          <w:rFonts w:ascii="Courier New" w:hAnsi="Courier New"/>
          <w:color w:val="1D4ED8"/>
          <w:sz w:val="21"/>
        </w:rPr>
        <w:t>Σ insättningar − Σ uttag under perioden (från startpunktens datum)</w:t>
      </w:r>
    </w:p>
    <w:p>
      <w:pPr>
        <w:spacing w:after="60"/>
        <w:ind w:left="360"/>
      </w:pPr>
      <w:r>
        <w:rPr>
          <w:b/>
          <w:color w:val="1E3A5F"/>
          <w:sz w:val="22"/>
        </w:rPr>
        <w:t xml:space="preserve">Avkastning inkl. (kr): </w:t>
      </w:r>
      <w:r>
        <w:rPr>
          <w:rFonts w:ascii="Courier New" w:hAnsi="Courier New"/>
          <w:color w:val="1D4ED8"/>
          <w:sz w:val="21"/>
        </w:rPr>
        <w:t>Nuvarande värde − Startvärde</w:t>
      </w:r>
    </w:p>
    <w:p>
      <w:pPr>
        <w:spacing w:after="60"/>
        <w:ind w:left="360"/>
      </w:pPr>
      <w:r>
        <w:rPr>
          <w:b/>
          <w:color w:val="1E3A5F"/>
          <w:sz w:val="22"/>
        </w:rPr>
        <w:t xml:space="preserve">Avkastning exkl. (kr): </w:t>
      </w:r>
      <w:r>
        <w:rPr>
          <w:rFonts w:ascii="Courier New" w:hAnsi="Courier New"/>
          <w:color w:val="1D4ED8"/>
          <w:sz w:val="21"/>
        </w:rPr>
        <w:t>Nuvarande värde − Startvärde − Nettoinflöde</w:t>
      </w:r>
    </w:p>
    <w:p>
      <w:pPr>
        <w:spacing w:after="60"/>
        <w:ind w:left="360"/>
      </w:pPr>
      <w:r>
        <w:rPr>
          <w:b/>
          <w:color w:val="1E3A5F"/>
          <w:sz w:val="22"/>
        </w:rPr>
        <w:t xml:space="preserve">Avkastning (%): </w:t>
      </w:r>
      <w:r>
        <w:rPr>
          <w:rFonts w:ascii="Courier New" w:hAnsi="Courier New"/>
          <w:color w:val="1D4ED8"/>
          <w:sz w:val="21"/>
        </w:rPr>
        <w:t>Avkastning exkl. / (Startvärde + Nettoinflöde) × 100</w:t>
      </w:r>
    </w:p>
    <w:p>
      <w:pPr>
        <w:spacing w:after="120"/>
        <w:ind w:left="288"/>
      </w:pPr>
      <w:r>
        <w:rPr>
          <w:i/>
          <w:color w:val="6B7280"/>
          <w:sz w:val="20"/>
        </w:rPr>
        <w:t>ℹ️  Tryck "▼ Visa beräkningsunderlag" i Periodutveckling-kortet för att se exakt vilka tal appen använder.</w:t>
      </w:r>
    </w:p>
    <w:p>
      <w:pPr>
        <w:spacing w:before="240" w:after="80"/>
      </w:pPr>
      <w:r>
        <w:rPr>
          <w:b/>
          <w:color w:val="1E3A5F"/>
          <w:sz w:val="26"/>
        </w:rPr>
        <w:t>5. Kategorivikt och ombalansering</w:t>
      </w:r>
    </w:p>
    <w:p>
      <w:pPr>
        <w:spacing w:after="60"/>
        <w:ind w:left="360"/>
      </w:pPr>
      <w:r>
        <w:rPr>
          <w:b/>
          <w:color w:val="1E3A5F"/>
          <w:sz w:val="22"/>
        </w:rPr>
        <w:t xml:space="preserve">Kategorivikt (%): </w:t>
      </w:r>
      <w:r>
        <w:rPr>
          <w:rFonts w:ascii="Courier New" w:hAnsi="Courier New"/>
          <w:color w:val="1D4ED8"/>
          <w:sz w:val="21"/>
        </w:rPr>
        <w:t>Kategorins marknadsvärde / Totalt portföljvärde × 100</w:t>
      </w:r>
    </w:p>
    <w:p>
      <w:pPr>
        <w:spacing w:after="60"/>
        <w:ind w:left="360"/>
      </w:pPr>
      <w:r>
        <w:rPr>
          <w:b/>
          <w:color w:val="1E3A5F"/>
          <w:sz w:val="22"/>
        </w:rPr>
        <w:t xml:space="preserve">Köp/Sälj (kr): </w:t>
      </w:r>
      <w:r>
        <w:rPr>
          <w:rFonts w:ascii="Courier New" w:hAnsi="Courier New"/>
          <w:color w:val="1D4ED8"/>
          <w:sz w:val="21"/>
        </w:rPr>
        <w:t>(Målmitten% − Nuv. vikt%) × Totalt portföljvärde</w:t>
      </w:r>
    </w:p>
    <w:p>
      <w:pPr>
        <w:spacing w:after="60"/>
        <w:ind w:left="360"/>
      </w:pPr>
      <w:r>
        <w:rPr>
          <w:b/>
          <w:color w:val="1E3A5F"/>
          <w:sz w:val="22"/>
        </w:rPr>
        <w:t xml:space="preserve">Målmitten: </w:t>
      </w:r>
      <w:r>
        <w:rPr>
          <w:rFonts w:ascii="Courier New" w:hAnsi="Courier New"/>
          <w:color w:val="1D4ED8"/>
          <w:sz w:val="21"/>
        </w:rPr>
        <w:t>(Målmin + Målmax) / 2</w:t>
      </w:r>
    </w:p>
    <w:p>
      <w:pPr>
        <w:spacing w:after="120"/>
        <w:ind w:left="288"/>
      </w:pPr>
      <w:r>
        <w:rPr>
          <w:i/>
          <w:color w:val="6B7280"/>
          <w:sz w:val="20"/>
        </w:rPr>
        <w:t>ℹ️  Ombalansering visas bara vid avvikelse över 2 procentenheter. Positivt belopp = köp, negativt = sälj.</w:t>
      </w:r>
    </w:p>
    <w:p>
      <w:pPr>
        <w:spacing w:before="240" w:after="80"/>
      </w:pPr>
      <w:r>
        <w:rPr>
          <w:b/>
          <w:color w:val="1E3A5F"/>
          <w:sz w:val="26"/>
        </w:rPr>
        <w:t>6. MA200-signal</w:t>
      </w:r>
    </w:p>
    <w:p>
      <w:pPr>
        <w:spacing w:after="60"/>
        <w:ind w:left="360"/>
      </w:pPr>
      <w:r>
        <w:rPr>
          <w:b/>
          <w:color w:val="1E3A5F"/>
          <w:sz w:val="22"/>
        </w:rPr>
        <w:t xml:space="preserve">Lokal kurs: </w:t>
      </w:r>
      <w:r>
        <w:rPr>
          <w:rFonts w:ascii="Courier New" w:hAnsi="Courier New"/>
          <w:color w:val="1D4ED8"/>
          <w:sz w:val="21"/>
        </w:rPr>
        <w:t>Aktuell SEK-kurs / Historisk FX</w:t>
      </w:r>
    </w:p>
    <w:p>
      <w:pPr>
        <w:spacing w:after="60"/>
        <w:ind w:left="360"/>
      </w:pPr>
      <w:r>
        <w:rPr>
          <w:b/>
          <w:color w:val="1E3A5F"/>
          <w:sz w:val="22"/>
        </w:rPr>
        <w:t xml:space="preserve">Avstånd från MA200 (%): </w:t>
      </w:r>
      <w:r>
        <w:rPr>
          <w:rFonts w:ascii="Courier New" w:hAnsi="Courier New"/>
          <w:color w:val="1D4ED8"/>
          <w:sz w:val="21"/>
        </w:rPr>
        <w:t>(Lokal kurs − MA200) / MA200 × 100</w:t>
      </w:r>
    </w:p>
    <w:p>
      <w:pPr>
        <w:ind w:left="360"/>
      </w:pPr>
    </w:p>
    <w:p>
      <w:pPr>
        <w:pStyle w:val="ListBullet"/>
        <w:spacing w:after="40"/>
        <w:ind w:left="576"/>
      </w:pPr>
      <w:r>
        <w:rPr>
          <w:color w:val="111827"/>
          <w:sz w:val="22"/>
        </w:rPr>
        <w:t>Grön: Lokal kurs &gt; MA200</w:t>
      </w:r>
    </w:p>
    <w:p>
      <w:pPr>
        <w:pStyle w:val="ListBullet"/>
        <w:spacing w:after="40"/>
        <w:ind w:left="576"/>
      </w:pPr>
      <w:r>
        <w:rPr>
          <w:color w:val="111827"/>
          <w:sz w:val="22"/>
        </w:rPr>
        <w:t>Gul: Lokal kurs &gt; MA200 men mer än +15% över (gummiband)</w:t>
      </w:r>
    </w:p>
    <w:p>
      <w:pPr>
        <w:pStyle w:val="ListBullet"/>
        <w:spacing w:after="40"/>
        <w:ind w:left="576"/>
      </w:pPr>
      <w:r>
        <w:rPr>
          <w:color w:val="111827"/>
          <w:sz w:val="22"/>
        </w:rPr>
        <w:t>Röd: Lokal kurs &lt; MA200 i 2 dagar i rad (kat. 3–6)</w:t>
      </w:r>
    </w:p>
    <w:p>
      <w:pPr>
        <w:pStyle w:val="ListBullet"/>
        <w:spacing w:after="40"/>
        <w:ind w:left="576"/>
      </w:pPr>
      <w:r>
        <w:rPr>
          <w:color w:val="111827"/>
          <w:sz w:val="22"/>
        </w:rPr>
        <w:t>Nödutgång: Aktuell kurs &lt; 90% av GAV</w:t>
      </w:r>
    </w:p>
    <w:p>
      <w:pPr>
        <w:spacing w:before="240" w:after="80"/>
      </w:pPr>
      <w:r>
        <w:rPr>
          <w:b/>
          <w:color w:val="1E3A5F"/>
          <w:sz w:val="26"/>
        </w:rPr>
        <w:t>7. ISK-skatt (schablonintäkt)</w:t>
      </w:r>
    </w:p>
    <w:p>
      <w:pPr>
        <w:spacing w:after="60"/>
        <w:ind w:left="360"/>
      </w:pPr>
      <w:r>
        <w:rPr>
          <w:b/>
          <w:color w:val="1E3A5F"/>
          <w:sz w:val="22"/>
        </w:rPr>
        <w:t xml:space="preserve">Kapitalunderlag: </w:t>
      </w:r>
      <w:r>
        <w:rPr>
          <w:rFonts w:ascii="Courier New" w:hAnsi="Courier New"/>
          <w:color w:val="1D4ED8"/>
          <w:sz w:val="21"/>
        </w:rPr>
        <w:t>(Q1 + Q2 + Q3 + Q4) / 4 + H1-insättningar</w:t>
      </w:r>
    </w:p>
    <w:p>
      <w:pPr>
        <w:spacing w:after="60"/>
        <w:ind w:left="360"/>
      </w:pPr>
      <w:r>
        <w:rPr>
          <w:b/>
          <w:color w:val="1E3A5F"/>
          <w:sz w:val="22"/>
        </w:rPr>
        <w:t xml:space="preserve">Schablonintäkt: </w:t>
      </w:r>
      <w:r>
        <w:rPr>
          <w:rFonts w:ascii="Courier New" w:hAnsi="Courier New"/>
          <w:color w:val="1D4ED8"/>
          <w:sz w:val="21"/>
        </w:rPr>
        <w:t>Kapitalunderlag × (SLR + 1%)</w:t>
      </w:r>
    </w:p>
    <w:p>
      <w:pPr>
        <w:spacing w:after="60"/>
        <w:ind w:left="360"/>
      </w:pPr>
      <w:r>
        <w:rPr>
          <w:b/>
          <w:color w:val="1E3A5F"/>
          <w:sz w:val="22"/>
        </w:rPr>
        <w:t xml:space="preserve">Skatt: </w:t>
      </w:r>
      <w:r>
        <w:rPr>
          <w:rFonts w:ascii="Courier New" w:hAnsi="Courier New"/>
          <w:color w:val="1D4ED8"/>
          <w:sz w:val="21"/>
        </w:rPr>
        <w:t>Schablonintäkt × 30%</w:t>
      </w:r>
    </w:p>
    <w:p>
      <w:pPr>
        <w:spacing w:after="120"/>
        <w:ind w:left="288"/>
      </w:pPr>
      <w:r>
        <w:rPr>
          <w:i/>
          <w:color w:val="6B7280"/>
          <w:sz w:val="20"/>
        </w:rPr>
        <w:t>ℹ️  Q1–Q4 = portföljvärde vid 1 jan, 1 apr, 1 jul, 1 okt. H1 = nettoinflöde jan–jun. Kvartalsvärden hämtas från importerade historikpunkter närmast dessa datum.</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