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Noah Stoffman</w:t>
            </w:r>
          </w:p>
        </w:tc>
        <w:tc>
          <w:tcPr>
            <w:tcW w:w="5310" w:type="dxa"/>
          </w:tcPr>
          <w:p w14:paraId="5FFCBBFB" w14:textId="27C6FA98" w:rsidR="0061217B" w:rsidRPr="000B7536" w:rsidRDefault="000B7536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>
              <w:rPr>
                <w:rFonts w:ascii="Corbel" w:hAnsi="Corbel" w:cs="Garamond"/>
                <w:color w:val="000000"/>
                <w:sz w:val="20"/>
                <w:szCs w:val="21"/>
              </w:rPr>
              <w:t>www.</w:t>
            </w:r>
            <w:r w:rsidR="0023095A" w:rsidRPr="000B7536">
              <w:rPr>
                <w:rFonts w:ascii="Corbel" w:hAnsi="Corbel" w:cs="Garamond"/>
                <w:color w:val="000000"/>
                <w:sz w:val="20"/>
                <w:szCs w:val="21"/>
              </w:rPr>
              <w:t>stoffprof.</w:t>
            </w:r>
            <w:r>
              <w:rPr>
                <w:rFonts w:ascii="Corbel" w:hAnsi="Corbel" w:cs="Garamond"/>
                <w:color w:val="000000"/>
                <w:sz w:val="20"/>
                <w:szCs w:val="21"/>
              </w:rPr>
              <w:t>com</w:t>
            </w:r>
          </w:p>
          <w:p w14:paraId="2EE8F7E8" w14:textId="602F6E0D" w:rsidR="00632B64" w:rsidRPr="000B7536" w:rsidRDefault="00632B64" w:rsidP="000B753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nstoffma@iu.edu</w:t>
            </w:r>
          </w:p>
          <w:p w14:paraId="2B40DEB5" w14:textId="316129CF" w:rsidR="00632B64" w:rsidRPr="000B7536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(with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5C3F26F5" w:rsidR="00614F56" w:rsidRPr="00FF60D2" w:rsidRDefault="007050BA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 xml:space="preserve">Research </w:t>
      </w:r>
      <w:r w:rsidR="00614F56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3717D15E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C003C48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Vanderbilt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0F7E930C" w14:textId="05DBE198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6710BF" w:rsidRPr="00FF60D2" w14:paraId="26A60FBE" w14:textId="77777777" w:rsidTr="00B22E4D">
        <w:tc>
          <w:tcPr>
            <w:tcW w:w="1260" w:type="dxa"/>
          </w:tcPr>
          <w:p w14:paraId="137142FE" w14:textId="541FA6E3" w:rsidR="006710BF" w:rsidRDefault="006710B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100" w:type="dxa"/>
          </w:tcPr>
          <w:p w14:paraId="32B12170" w14:textId="058ED738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6710BF">
              <w:rPr>
                <w:rFonts w:ascii="Corbel" w:hAnsi="Corbel"/>
                <w:color w:val="000000"/>
                <w:sz w:val="24"/>
                <w:szCs w:val="24"/>
              </w:rPr>
              <w:t xml:space="preserve">Financial Intermediation Research Society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  <w:p w14:paraId="7B23C769" w14:textId="43E7E7B7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SFS Cavalcade (d)</w:t>
            </w: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F9F488A" w14:textId="0E21C3E3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Wabash River Finance Conference (d)</w:t>
            </w:r>
          </w:p>
          <w:p w14:paraId="7C038C2D" w14:textId="51A3451D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 (c)</w:t>
            </w:r>
          </w:p>
          <w:p w14:paraId="7481B3AA" w14:textId="1728319A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lastRenderedPageBreak/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7ABABDB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  <w:r w:rsidR="006710B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771829E3" w14:textId="0C811036" w:rsidR="006710BF" w:rsidRPr="006710BF" w:rsidRDefault="0024469C" w:rsidP="006710BF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521B6DCC" w14:textId="53A69B94" w:rsidR="006710BF" w:rsidRPr="006710BF" w:rsidRDefault="006710BF" w:rsidP="00671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Flora Sun, Accounting, 2024 – </w:t>
      </w:r>
      <w:r w:rsidRPr="006710BF">
        <w:rPr>
          <w:rFonts w:ascii="Corbel" w:hAnsi="Corbel" w:cs="Garamond-Bold"/>
          <w:bCs/>
          <w:color w:val="000000"/>
          <w:sz w:val="24"/>
          <w:szCs w:val="28"/>
        </w:rPr>
        <w:t>Binghamton University</w:t>
      </w:r>
    </w:p>
    <w:p w14:paraId="28BE13A7" w14:textId="5D9256DE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lastRenderedPageBreak/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5C2F3C91" w14:textId="61F92DE4" w:rsidR="007050BA" w:rsidRDefault="007050BA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6F374347" w14:textId="496C5615" w:rsidR="00EB627B" w:rsidRPr="00FF60D2" w:rsidRDefault="00D8194E" w:rsidP="00EB6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Profession</w:t>
      </w:r>
      <w:r w:rsidR="00E878E9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EB627B" w:rsidRPr="00FF60D2" w14:paraId="15630361" w14:textId="77777777" w:rsidTr="00191C08">
        <w:tc>
          <w:tcPr>
            <w:tcW w:w="9576" w:type="dxa"/>
          </w:tcPr>
          <w:p w14:paraId="64108BC8" w14:textId="08FF534F" w:rsidR="0020407F" w:rsidRDefault="0020407F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</w:t>
            </w:r>
            <w:r w:rsidR="005F60AD"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  <w:p w14:paraId="0E5B2E3C" w14:textId="77777777" w:rsidR="005729BF" w:rsidRDefault="005729BF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BA4F61F" w14:textId="23FB497E" w:rsidR="00AE2CBB" w:rsidRDefault="00AE2CBB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52D0994" w14:textId="77777777" w:rsidR="006F690D" w:rsidRDefault="006F690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C28AA33" w14:textId="77777777" w:rsidR="006F690D" w:rsidRDefault="006F690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27BEC003" w14:textId="77777777" w:rsidR="00C96E34" w:rsidRDefault="00C96E34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64EAA472" w14:textId="537C11DE" w:rsidR="00FE71AC" w:rsidRDefault="00FE71AC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2F40B6FA" w14:textId="0FA7BF92" w:rsidR="00960A43" w:rsidRPr="00960A43" w:rsidRDefault="00960A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FDBC44" w14:textId="32005CF6" w:rsidR="00C05943" w:rsidRDefault="00C059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6D50367F" w14:textId="44390A03" w:rsidR="00C05943" w:rsidRPr="00C05943" w:rsidRDefault="00C059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1C412CF5" w14:textId="77777777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428AD097" w14:textId="50619DA1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Financial Intermediation </w:t>
            </w:r>
            <w:r w:rsidR="005C09C5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Society (2019)</w:t>
            </w:r>
          </w:p>
          <w:p w14:paraId="3601517B" w14:textId="58679D02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0ED9115A" w14:textId="7584DD6F" w:rsidR="00392C2F" w:rsidRDefault="00392C2F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</w:t>
            </w:r>
            <w:r w:rsidR="007547B9" w:rsidRPr="00AE2CBB">
              <w:rPr>
                <w:rFonts w:ascii="Corbel" w:hAnsi="Corbel" w:cs="Garamond"/>
                <w:color w:val="000000"/>
                <w:sz w:val="24"/>
                <w:szCs w:val="24"/>
              </w:rPr>
              <w:t>–2015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18A456D" w14:textId="77777777" w:rsidR="00594696" w:rsidRDefault="005F60AD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</w:t>
            </w:r>
            <w:r w:rsidR="00594696">
              <w:rPr>
                <w:rFonts w:ascii="Corbel" w:hAnsi="Corbel" w:cs="Garamond"/>
                <w:color w:val="000000"/>
                <w:sz w:val="24"/>
                <w:szCs w:val="24"/>
              </w:rPr>
              <w:t>:</w:t>
            </w:r>
          </w:p>
          <w:p w14:paraId="4F3E5ECF" w14:textId="2E8C3A04" w:rsidR="00594696" w:rsidRDefault="00594696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European Research Council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(2024)</w:t>
            </w:r>
          </w:p>
          <w:p w14:paraId="235E1EB3" w14:textId="5472B2B3" w:rsidR="00594696" w:rsidRDefault="005F60A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Israel Science Foundation (2019, 2020</w:t>
            </w:r>
            <w:r w:rsidR="00960A43" w:rsidRPr="00594696"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43CF40" w14:textId="77777777" w:rsidR="00594696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University Grants Committee, Hong Kong (2019)</w:t>
            </w:r>
          </w:p>
          <w:p w14:paraId="4E2D4933" w14:textId="77777777" w:rsidR="00AE2CBB" w:rsidRDefault="00583498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Hong Kong Grant Council (2012)</w:t>
            </w:r>
          </w:p>
          <w:p w14:paraId="2FBD89FA" w14:textId="4A66B8D5" w:rsidR="00594696" w:rsidRPr="00594696" w:rsidRDefault="00594696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Journal of Accounting Research; Journal of Banking and Finance; Journal of Finance; Journal of Financial Economics; Journal of Financial and Quantitative Analysis; Journal of Monetary Economics;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</w:tc>
      </w:tr>
    </w:tbl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1014C698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Departmental Service</w:t>
      </w:r>
    </w:p>
    <w:p w14:paraId="61AEAA3B" w14:textId="4D13FD75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0D9C77D5" w14:textId="335E1234" w:rsidR="0055320B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  <w:r w:rsidR="00662AD9">
        <w:rPr>
          <w:rFonts w:ascii="Corbel" w:hAnsi="Corbel" w:cs="Garamond"/>
          <w:color w:val="000000"/>
          <w:sz w:val="24"/>
          <w:szCs w:val="24"/>
        </w:rPr>
        <w:br/>
      </w:r>
    </w:p>
    <w:p w14:paraId="2CA81563" w14:textId="61D4A179" w:rsidR="00662AD9" w:rsidRPr="00FF60D2" w:rsidRDefault="00662AD9" w:rsidP="00662A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University Service</w:t>
      </w:r>
    </w:p>
    <w:p w14:paraId="5B06B903" w14:textId="7EABA4DC" w:rsidR="006F690D" w:rsidRDefault="006F690D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Bloomington Faculty Council, 2024–26</w:t>
      </w:r>
    </w:p>
    <w:p w14:paraId="33D69B11" w14:textId="4CB87253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Graduate Faculty Council (elected), 2023–</w:t>
      </w:r>
      <w:r w:rsidR="006F690D">
        <w:rPr>
          <w:rFonts w:ascii="Corbel" w:hAnsi="Corbel" w:cs="Garamond"/>
          <w:color w:val="000000"/>
          <w:sz w:val="24"/>
          <w:szCs w:val="24"/>
        </w:rPr>
        <w:t>24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2FDEE04A" w14:textId="26620B09" w:rsidR="0023095A" w:rsidRPr="006F690D" w:rsidRDefault="0076562C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</w:p>
    <w:p w14:paraId="1EE31D26" w14:textId="77777777" w:rsidR="006F690D" w:rsidRDefault="006F690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br w:type="page"/>
      </w:r>
    </w:p>
    <w:p w14:paraId="5C80218E" w14:textId="293CDC7B" w:rsidR="0023095A" w:rsidRPr="00FF60D2" w:rsidRDefault="0023095A" w:rsidP="002309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lastRenderedPageBreak/>
        <w:t>External Service</w:t>
      </w:r>
    </w:p>
    <w:p w14:paraId="3A941F06" w14:textId="5B104453" w:rsidR="0023095A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U.S. Patent and Trademark Office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</w:t>
      </w:r>
      <w:r w:rsidR="002C74C8">
        <w:rPr>
          <w:rFonts w:ascii="Corbel" w:hAnsi="Corbel" w:cs="Garamond"/>
          <w:color w:val="000000"/>
          <w:sz w:val="24"/>
          <w:szCs w:val="24"/>
        </w:rPr>
        <w:t>22</w:t>
      </w:r>
    </w:p>
    <w:p w14:paraId="7414C96C" w14:textId="0A024802" w:rsidR="0023095A" w:rsidRPr="00AB24B0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Habitat for Humanity of Monroe County, Treasurer, 2018</w:t>
      </w:r>
      <w:r w:rsidR="00647A2D">
        <w:rPr>
          <w:rFonts w:ascii="Corbel" w:hAnsi="Corbel" w:cs="Garamond"/>
          <w:color w:val="000000"/>
          <w:sz w:val="24"/>
          <w:szCs w:val="24"/>
        </w:rPr>
        <w:t>–</w:t>
      </w:r>
      <w:r>
        <w:rPr>
          <w:rFonts w:ascii="Corbel" w:hAnsi="Corbel" w:cs="Garamond"/>
          <w:color w:val="000000"/>
          <w:sz w:val="24"/>
          <w:szCs w:val="24"/>
        </w:rPr>
        <w:t>23</w:t>
      </w:r>
    </w:p>
    <w:sectPr w:rsidR="0023095A" w:rsidRPr="00AB24B0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B3E98" w14:textId="77777777" w:rsidR="003D4AD5" w:rsidRDefault="003D4AD5" w:rsidP="00A33B12">
      <w:pPr>
        <w:spacing w:after="0" w:line="240" w:lineRule="auto"/>
      </w:pPr>
      <w:r>
        <w:separator/>
      </w:r>
    </w:p>
  </w:endnote>
  <w:endnote w:type="continuationSeparator" w:id="0">
    <w:p w14:paraId="16D8D155" w14:textId="77777777" w:rsidR="003D4AD5" w:rsidRDefault="003D4AD5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E709B" w14:textId="77777777" w:rsidR="003D4AD5" w:rsidRDefault="003D4AD5" w:rsidP="00A33B12">
      <w:pPr>
        <w:spacing w:after="0" w:line="240" w:lineRule="auto"/>
      </w:pPr>
      <w:r>
        <w:separator/>
      </w:r>
    </w:p>
  </w:footnote>
  <w:footnote w:type="continuationSeparator" w:id="0">
    <w:p w14:paraId="120FA6D0" w14:textId="77777777" w:rsidR="003D4AD5" w:rsidRDefault="003D4AD5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.7pt;height:15.7pt;visibility:visible" o:bullet="t">
        <v:imagedata r:id="rId1" o:title=""/>
      </v:shape>
    </w:pict>
  </w:numPicBullet>
  <w:numPicBullet w:numPicBulletId="1">
    <w:pict>
      <v:shape id="_x0000_i1042" type="#_x0000_t75" style="width:15.7pt;height:15.7pt;visibility:visible" o:bullet="t">
        <v:imagedata r:id="rId2" o:title=""/>
      </v:shape>
    </w:pict>
  </w:numPicBullet>
  <w:numPicBullet w:numPicBulletId="2">
    <w:pict>
      <v:shape id="_x0000_i1043" type="#_x0000_t75" alt="Internet with solid fill" style="width:9.15pt;height:8.3pt;visibility:visible" o:bullet="t">
        <v:imagedata r:id="rId3" o:title="" cropbottom="-819f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7D33"/>
    <w:multiLevelType w:val="hybridMultilevel"/>
    <w:tmpl w:val="CBD68534"/>
    <w:lvl w:ilvl="0" w:tplc="7A8272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C6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06D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EAB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AD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2B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6C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20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65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4"/>
  </w:num>
  <w:num w:numId="2" w16cid:durableId="18549388">
    <w:abstractNumId w:val="8"/>
  </w:num>
  <w:num w:numId="3" w16cid:durableId="1756168356">
    <w:abstractNumId w:val="1"/>
  </w:num>
  <w:num w:numId="4" w16cid:durableId="82381788">
    <w:abstractNumId w:val="10"/>
  </w:num>
  <w:num w:numId="5" w16cid:durableId="1970818808">
    <w:abstractNumId w:val="13"/>
  </w:num>
  <w:num w:numId="6" w16cid:durableId="90974046">
    <w:abstractNumId w:val="17"/>
  </w:num>
  <w:num w:numId="7" w16cid:durableId="1540431196">
    <w:abstractNumId w:val="6"/>
  </w:num>
  <w:num w:numId="8" w16cid:durableId="703796295">
    <w:abstractNumId w:val="18"/>
  </w:num>
  <w:num w:numId="9" w16cid:durableId="491677884">
    <w:abstractNumId w:val="16"/>
  </w:num>
  <w:num w:numId="10" w16cid:durableId="80298891">
    <w:abstractNumId w:val="3"/>
  </w:num>
  <w:num w:numId="11" w16cid:durableId="994379693">
    <w:abstractNumId w:val="9"/>
  </w:num>
  <w:num w:numId="12" w16cid:durableId="1684548030">
    <w:abstractNumId w:val="11"/>
  </w:num>
  <w:num w:numId="13" w16cid:durableId="135729652">
    <w:abstractNumId w:val="5"/>
  </w:num>
  <w:num w:numId="14" w16cid:durableId="554045328">
    <w:abstractNumId w:val="14"/>
  </w:num>
  <w:num w:numId="15" w16cid:durableId="633868563">
    <w:abstractNumId w:val="0"/>
  </w:num>
  <w:num w:numId="16" w16cid:durableId="1869831610">
    <w:abstractNumId w:val="12"/>
  </w:num>
  <w:num w:numId="17" w16cid:durableId="542065089">
    <w:abstractNumId w:val="15"/>
  </w:num>
  <w:num w:numId="18" w16cid:durableId="1990399859">
    <w:abstractNumId w:val="7"/>
  </w:num>
  <w:num w:numId="19" w16cid:durableId="109497905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2D7"/>
    <w:rsid w:val="0005690F"/>
    <w:rsid w:val="00057BA3"/>
    <w:rsid w:val="00057DB9"/>
    <w:rsid w:val="00070AEB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B7536"/>
    <w:rsid w:val="000C001C"/>
    <w:rsid w:val="000C0857"/>
    <w:rsid w:val="000C3AAA"/>
    <w:rsid w:val="000D0370"/>
    <w:rsid w:val="000D768A"/>
    <w:rsid w:val="000E272A"/>
    <w:rsid w:val="000E2B79"/>
    <w:rsid w:val="000E6F83"/>
    <w:rsid w:val="000F5792"/>
    <w:rsid w:val="00101920"/>
    <w:rsid w:val="00102064"/>
    <w:rsid w:val="00105654"/>
    <w:rsid w:val="00107825"/>
    <w:rsid w:val="0011208E"/>
    <w:rsid w:val="00115831"/>
    <w:rsid w:val="0012292F"/>
    <w:rsid w:val="00125787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1AF6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095A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47E"/>
    <w:rsid w:val="002B3E90"/>
    <w:rsid w:val="002C35F5"/>
    <w:rsid w:val="002C4C95"/>
    <w:rsid w:val="002C6109"/>
    <w:rsid w:val="002C6B80"/>
    <w:rsid w:val="002C74C8"/>
    <w:rsid w:val="002D121A"/>
    <w:rsid w:val="002D17D9"/>
    <w:rsid w:val="002D21CB"/>
    <w:rsid w:val="002D717E"/>
    <w:rsid w:val="002D74D7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5883"/>
    <w:rsid w:val="003B741B"/>
    <w:rsid w:val="003B7996"/>
    <w:rsid w:val="003C7ABA"/>
    <w:rsid w:val="003D311D"/>
    <w:rsid w:val="003D34C7"/>
    <w:rsid w:val="003D45C4"/>
    <w:rsid w:val="003D4AD5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D7BD7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BF0"/>
    <w:rsid w:val="005922DF"/>
    <w:rsid w:val="00594696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47A2D"/>
    <w:rsid w:val="0065509E"/>
    <w:rsid w:val="0066140E"/>
    <w:rsid w:val="00661BA1"/>
    <w:rsid w:val="00662AD9"/>
    <w:rsid w:val="00662D1B"/>
    <w:rsid w:val="00664D4E"/>
    <w:rsid w:val="006710BF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6F690D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A484E"/>
    <w:rsid w:val="00AB03AA"/>
    <w:rsid w:val="00AB24B0"/>
    <w:rsid w:val="00AB4DF9"/>
    <w:rsid w:val="00AB57E7"/>
    <w:rsid w:val="00AB6A96"/>
    <w:rsid w:val="00AC03F5"/>
    <w:rsid w:val="00AC1B0A"/>
    <w:rsid w:val="00AC49FA"/>
    <w:rsid w:val="00AC4CB3"/>
    <w:rsid w:val="00AD5239"/>
    <w:rsid w:val="00AD613C"/>
    <w:rsid w:val="00AE04DB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0207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96E34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753"/>
    <w:rsid w:val="00E83FF4"/>
    <w:rsid w:val="00E869DD"/>
    <w:rsid w:val="00E878E9"/>
    <w:rsid w:val="00E90498"/>
    <w:rsid w:val="00E91B76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5</cp:revision>
  <cp:lastPrinted>2024-06-05T23:52:00Z</cp:lastPrinted>
  <dcterms:created xsi:type="dcterms:W3CDTF">2024-06-05T23:52:00Z</dcterms:created>
  <dcterms:modified xsi:type="dcterms:W3CDTF">2024-09-01T15:24:00Z</dcterms:modified>
</cp:coreProperties>
</file>