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PDP UNIVERSITY</w:t>
      </w:r>
      <w:r>
        <w:t xml:space="preserve"> </w:t>
      </w:r>
      <w:r>
        <w:t xml:space="preserve">Faculty of Business Information Technology</w:t>
      </w:r>
      <w:r>
        <w:t xml:space="preserve"> </w:t>
      </w:r>
      <w:r>
        <w:t xml:space="preserve">Tashkent, Uzbekistan</w:t>
      </w:r>
    </w:p>
    <w:p>
      <w:pPr>
        <w:pStyle w:val="BodyText"/>
      </w:pPr>
      <w:r>
        <w:rPr>
          <w:b/>
          <w:bCs/>
        </w:rPr>
        <w:t xml:space="preserve">INDEPENDENT PROJECT</w:t>
      </w:r>
      <w:r>
        <w:t xml:space="preserve"> </w:t>
      </w:r>
      <w:r>
        <w:t xml:space="preserve">Pearson BTEC Level 6 Diploma in Digital Technologies</w:t>
      </w:r>
      <w:r>
        <w:t xml:space="preserve"> </w:t>
      </w:r>
      <w:r>
        <w:t xml:space="preserve">Unit 2 — Unit Code: 70726U — Credit Value: 30</w:t>
      </w:r>
    </w:p>
    <w:p>
      <w:r>
        <w:pict>
          <v:rect style="width:0;height:1.5pt" o:hralign="center" o:hrstd="t" o:hr="t"/>
        </w:pict>
      </w:r>
    </w:p>
    <w:bookmarkStart w:id="10" w:name="edumetric"/>
    <w:p>
      <w:pPr>
        <w:pStyle w:val="Heading1"/>
      </w:pPr>
      <w:r>
        <w:t xml:space="preserve">EduMetric</w:t>
      </w:r>
    </w:p>
    <w:bookmarkStart w:id="9" w:name="X6e01453028b816ba0c43f9a16748bb8b0eee8a7"/>
    <w:p>
      <w:pPr>
        <w:pStyle w:val="Heading3"/>
      </w:pPr>
      <w:r>
        <w:t xml:space="preserve">A Web-Based Multi-Dimensional Student Performance Analytics System</w:t>
      </w:r>
    </w:p>
    <w:p>
      <w:pPr>
        <w:pStyle w:val="FirstParagraph"/>
      </w:pPr>
      <w:r>
        <w:rPr>
          <w:i/>
          <w:iCs/>
        </w:rPr>
        <w:t xml:space="preserve">Design, Development and Evaluation of a Transparent Composite-Score Platform for Educational Institutions</w:t>
      </w:r>
    </w:p>
    <w:p>
      <w:r>
        <w:pict>
          <v:rect style="width:0;height:1.5pt" o:hralign="center" o:hrstd="t" o:hr="t"/>
        </w:pict>
      </w:r>
    </w:p>
    <w:bookmarkEnd w:id="9"/>
    <w:bookmarkEnd w:id="10"/>
    <w:tbl>
      <w:tblPr>
        <w:tblStyle w:val="Table"/>
        <w:tblW w:type="auto" w:w="0"/>
        <w:tblLook w:firstRow="0" w:lastRow="0" w:firstColumn="0" w:lastColumn="0" w:noHBand="0" w:noVBand="0" w:val="000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  <w:bCs/>
              </w:rPr>
              <w:t xml:space="preserve">Student Name: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⟨STUDENT INPUT: Full Name⟩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 ID:</w:t>
            </w:r>
          </w:p>
        </w:tc>
        <w:tc>
          <w:tcPr/>
          <w:p>
            <w:pPr>
              <w:pStyle w:val="Compact"/>
            </w:pPr>
            <w:r>
              <w:t xml:space="preserve">⟨STUDENT INPUT: ID Number⟩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Programme / Group:</w:t>
            </w:r>
          </w:p>
        </w:tc>
        <w:tc>
          <w:tcPr/>
          <w:p>
            <w:pPr>
              <w:pStyle w:val="Compact"/>
            </w:pPr>
            <w:r>
              <w:t xml:space="preserve">⟨STUDENT INPUT: BIT — Group Name⟩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Format:</w:t>
            </w:r>
          </w:p>
        </w:tc>
        <w:tc>
          <w:tcPr/>
          <w:p>
            <w:pPr>
              <w:pStyle w:val="Compact"/>
            </w:pPr>
            <w:r>
              <w:t xml:space="preserve">Thesis-style ☐ Capstone-style 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Supervisor:</w:t>
            </w:r>
          </w:p>
        </w:tc>
        <w:tc>
          <w:tcPr/>
          <w:p>
            <w:pPr>
              <w:pStyle w:val="Compact"/>
            </w:pPr>
            <w:r>
              <w:t xml:space="preserve">⟨STUDENT INPUT: Supervisor Full Name⟩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Submission Date:</w:t>
            </w:r>
          </w:p>
        </w:tc>
        <w:tc>
          <w:tcPr/>
          <w:p>
            <w:pPr>
              <w:pStyle w:val="Compact"/>
            </w:pPr>
            <w:r>
              <w:t xml:space="preserve">⟨STUDENT INPUT: Day Month Year⟩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Word Count:</w:t>
            </w:r>
          </w:p>
        </w:tc>
        <w:tc>
          <w:tcPr/>
          <w:p>
            <w:pPr>
              <w:pStyle w:val="Compact"/>
            </w:pPr>
            <w:r>
              <w:t xml:space="preserve">⟨STUDENT INPUT: XXXX words⟩</w:t>
            </w:r>
          </w:p>
        </w:tc>
      </w:tr>
    </w:tbl>
    <w:p>
      <w:pPr>
        <w:pStyle w:val="BodyText"/>
      </w:pPr>
      <w:r>
        <w:t xml:space="preserve">Submitted in partial fulfilment of the requirements for the</w:t>
      </w:r>
      <w:r>
        <w:t xml:space="preserve"> </w:t>
      </w:r>
      <w:r>
        <w:t xml:space="preserve">Bachelor’s Degree in Business Information Technology</w:t>
      </w:r>
      <w:r>
        <w:t xml:space="preserve"> </w:t>
      </w:r>
      <w:r>
        <w:t xml:space="preserve">Academic Year ⟨STUDENT INPUT: 20XX–20XX⟩</w:t>
      </w:r>
    </w:p>
    <w:bookmarkStart w:id="11" w:name="declaration-of-originality"/>
    <w:p>
      <w:pPr>
        <w:pStyle w:val="Heading2"/>
      </w:pPr>
      <w:r>
        <w:t xml:space="preserve">Declaration of Originality</w:t>
      </w:r>
    </w:p>
    <w:p>
      <w:pPr>
        <w:pStyle w:val="FirstParagraph"/>
      </w:pPr>
      <w:r>
        <w:t xml:space="preserve">I hereby declare that this Independent Project, submitted in partial fulfilment of the requirements</w:t>
      </w:r>
      <w:r>
        <w:t xml:space="preserve"> </w:t>
      </w:r>
      <w:r>
        <w:t xml:space="preserve">for the Pearson BTEC Level 6 Diploma in Digital Technologies and the Bachelor’s Degree in Business</w:t>
      </w:r>
      <w:r>
        <w:t xml:space="preserve"> </w:t>
      </w:r>
      <w:r>
        <w:t xml:space="preserve">Information Technology at PDP University, is the result of my own original work.</w:t>
      </w:r>
    </w:p>
    <w:p>
      <w:pPr>
        <w:pStyle w:val="BodyText"/>
      </w:pPr>
      <w:r>
        <w:t xml:space="preserve">I confirm that:</w:t>
      </w:r>
    </w:p>
    <w:p>
      <w:pPr>
        <w:pStyle w:val="Compact"/>
        <w:numPr>
          <w:ilvl w:val="0"/>
          <w:numId w:val="1001"/>
        </w:numPr>
      </w:pPr>
      <w:r>
        <w:t xml:space="preserve">All sources of information, data and ideas drawn from other authors have been fully acknowledged</w:t>
      </w:r>
      <w:r>
        <w:t xml:space="preserve"> </w:t>
      </w:r>
      <w:r>
        <w:t xml:space="preserve">through accurate in-text citations and a complete reference list using the Harvard (author–date)</w:t>
      </w:r>
      <w:r>
        <w:t xml:space="preserve"> </w:t>
      </w:r>
      <w:r>
        <w:t xml:space="preserve">referencing system.</w:t>
      </w:r>
    </w:p>
    <w:p>
      <w:pPr>
        <w:pStyle w:val="Compact"/>
        <w:numPr>
          <w:ilvl w:val="0"/>
          <w:numId w:val="1001"/>
        </w:numPr>
      </w:pPr>
      <w:r>
        <w:t xml:space="preserve">This work has not been previously submitted, in whole or in part, for any other academic award at</w:t>
      </w:r>
      <w:r>
        <w:t xml:space="preserve"> </w:t>
      </w:r>
      <w:r>
        <w:t xml:space="preserve">this or any other institution.</w:t>
      </w:r>
    </w:p>
    <w:p>
      <w:pPr>
        <w:pStyle w:val="Compact"/>
        <w:numPr>
          <w:ilvl w:val="0"/>
          <w:numId w:val="1001"/>
        </w:numPr>
      </w:pPr>
      <w:r>
        <w:t xml:space="preserve">All research activities involving human participants have been conducted in compliance with the</w:t>
      </w:r>
      <w:r>
        <w:t xml:space="preserve"> </w:t>
      </w:r>
      <w:r>
        <w:t xml:space="preserve">institutional ethics procedures of PDP University and applicable data-protection regulations. This</w:t>
      </w:r>
      <w:r>
        <w:t xml:space="preserve"> </w:t>
      </w:r>
      <w:r>
        <w:t xml:space="preserve">project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collect data from human participants; it designs, builds and evaluates a software</w:t>
      </w:r>
      <w:r>
        <w:t xml:space="preserve"> </w:t>
      </w:r>
      <w:r>
        <w:t xml:space="preserve">system using design artefacts, functional and user-acceptance testing, and synthetic/anonymised</w:t>
      </w:r>
      <w:r>
        <w:t xml:space="preserve"> </w:t>
      </w:r>
      <w:r>
        <w:t xml:space="preserve">academic records (see §3.7 and Appendix D).</w:t>
      </w:r>
    </w:p>
    <w:p>
      <w:pPr>
        <w:pStyle w:val="Compact"/>
        <w:numPr>
          <w:ilvl w:val="0"/>
          <w:numId w:val="1001"/>
        </w:numPr>
      </w:pPr>
      <w:r>
        <w:t xml:space="preserve">I understand that any breach of academic integrity, including plagiarism, fabrication of data or</w:t>
      </w:r>
      <w:r>
        <w:t xml:space="preserve"> </w:t>
      </w:r>
      <w:r>
        <w:t xml:space="preserve">unauthorised collaboration, may result in the withdrawal of this submission and disciplinary action.</w:t>
      </w:r>
    </w:p>
    <w:tbl>
      <w:tblPr>
        <w:tblStyle w:val="Table"/>
        <w:tblW w:type="auto" w:w="0"/>
        <w:tblLook w:firstRow="0" w:lastRow="0" w:firstColumn="0" w:lastColumn="0" w:noHBand="0" w:noVBand="0" w:val="000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  <w:bCs/>
              </w:rPr>
              <w:t xml:space="preserve">Signature: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⟨STUDENT INPUT: signature⟩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Date:</w:t>
            </w:r>
          </w:p>
        </w:tc>
        <w:tc>
          <w:tcPr/>
          <w:p>
            <w:pPr>
              <w:pStyle w:val="Compact"/>
            </w:pPr>
            <w:r>
              <w:t xml:space="preserve">⟨STUDENT INPUT: date⟩</w:t>
            </w:r>
          </w:p>
        </w:tc>
      </w:tr>
    </w:tbl>
    <w:bookmarkEnd w:id="11"/>
    <w:bookmarkStart w:id="12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I would like to express my sincere gratitude to my supervisor, ⟨STUDENT INPUT: Supervisor Name⟩, for</w:t>
      </w:r>
      <w:r>
        <w:t xml:space="preserve"> </w:t>
      </w:r>
      <w:r>
        <w:t xml:space="preserve">their continuous guidance, constructive feedback and encouragement throughout the duration of this</w:t>
      </w:r>
      <w:r>
        <w:t xml:space="preserve"> </w:t>
      </w:r>
      <w:r>
        <w:t xml:space="preserve">project. Their insistence on grounding every design decision in the real system kept the work honest</w:t>
      </w:r>
      <w:r>
        <w:t xml:space="preserve"> </w:t>
      </w:r>
      <w:r>
        <w:t xml:space="preserve">and focused.</w:t>
      </w:r>
    </w:p>
    <w:p>
      <w:pPr>
        <w:pStyle w:val="BodyText"/>
      </w:pPr>
      <w:r>
        <w:t xml:space="preserve">I am also grateful to the Faculty of Business Information Technology at PDP University for providing</w:t>
      </w:r>
      <w:r>
        <w:t xml:space="preserve"> </w:t>
      </w:r>
      <w:r>
        <w:t xml:space="preserve">the academic foundation and resources that made this work possible, and to my peers on the EduMetric</w:t>
      </w:r>
      <w:r>
        <w:t xml:space="preserve"> </w:t>
      </w:r>
      <w:r>
        <w:t xml:space="preserve">development effort, whose questions about the metrics engine and the synchronous-recompute design</w:t>
      </w:r>
      <w:r>
        <w:t xml:space="preserve"> </w:t>
      </w:r>
      <w:r>
        <w:t xml:space="preserve">sharpened my understanding of how a requirement becomes working software.</w:t>
      </w:r>
    </w:p>
    <w:p>
      <w:pPr>
        <w:pStyle w:val="BodyText"/>
      </w:pPr>
      <w:r>
        <w:t xml:space="preserve">Finally, I extend my heartfelt thanks to my family and friends, ⟨STUDENT INPUT: optional personal</w:t>
      </w:r>
      <w:r>
        <w:t xml:space="preserve"> </w:t>
      </w:r>
      <w:r>
        <w:t xml:space="preserve">names⟩, whose support has been instrumental during every stage of my Bachelor’s studies.</w:t>
      </w:r>
    </w:p>
    <w:bookmarkEnd w:id="12"/>
    <w:bookmarkStart w:id="13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The digitalisation of education has produced systems that record grades but rarely explain how a</w:t>
      </w:r>
      <w:r>
        <w:t xml:space="preserve"> </w:t>
      </w:r>
      <w:r>
        <w:t xml:space="preserve">student is developing. Single grade-point averages collapse attendance, practical performance,</w:t>
      </w:r>
      <w:r>
        <w:t xml:space="preserve"> </w:t>
      </w:r>
      <w:r>
        <w:t xml:space="preserve">behaviour and engagement into one number, hiding declining trajectories until it is too late to</w:t>
      </w:r>
      <w:r>
        <w:t xml:space="preserve"> </w:t>
      </w:r>
      <w:r>
        <w:t xml:space="preserve">intervene. This project presents the design, development and evaluation of</w:t>
      </w:r>
      <w:r>
        <w:t xml:space="preserve"> </w:t>
      </w:r>
      <w:r>
        <w:rPr>
          <w:b/>
          <w:bCs/>
        </w:rPr>
        <w:t xml:space="preserve">EduMetric</w:t>
      </w:r>
      <w:r>
        <w:t xml:space="preserve">, a web-based,</w:t>
      </w:r>
      <w:r>
        <w:t xml:space="preserve"> </w:t>
      </w:r>
      <w:r>
        <w:t xml:space="preserve">multi-dimensional student performance analytics system that replaces the single grade-point average</w:t>
      </w:r>
      <w:r>
        <w:t xml:space="preserve"> </w:t>
      </w:r>
      <w:r>
        <w:t xml:space="preserve">with a transparent</w:t>
      </w:r>
      <w:r>
        <w:t xml:space="preserve"> </w:t>
      </w:r>
      <w:r>
        <w:rPr>
          <w:b/>
          <w:bCs/>
        </w:rPr>
        <w:t xml:space="preserve">composite score</w:t>
      </w:r>
      <w:r>
        <w:t xml:space="preserve"> </w:t>
      </w:r>
      <w:r>
        <w:t xml:space="preserve">computed across grades, attendance, practical work, behaviour</w:t>
      </w:r>
      <w:r>
        <w:t xml:space="preserve"> </w:t>
      </w:r>
      <w:r>
        <w:t xml:space="preserve">and activity, complemented by growth and consistency bonuses, a</w:t>
      </w:r>
      <w:r>
        <w:t xml:space="preserve"> </w:t>
      </w:r>
      <w:r>
        <w:rPr>
          <w:b/>
          <w:bCs/>
        </w:rPr>
        <w:t xml:space="preserve">growth trend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at-risk</w:t>
      </w:r>
      <w:r>
        <w:rPr>
          <w:b/>
          <w:bCs/>
        </w:rPr>
        <w:t xml:space="preserve"> </w:t>
      </w:r>
      <w:r>
        <w:rPr>
          <w:b/>
          <w:bCs/>
        </w:rPr>
        <w:t xml:space="preserve">detection</w:t>
      </w:r>
      <w:r>
        <w:t xml:space="preserve"> </w:t>
      </w:r>
      <w:r>
        <w:t xml:space="preserve">signal. A pragmatist, design-science methodology was adopted: functional and</w:t>
      </w:r>
      <w:r>
        <w:t xml:space="preserve"> </w:t>
      </w:r>
      <w:r>
        <w:t xml:space="preserve">non-functional requirements were elicited from the problem domain and a product master document; the</w:t>
      </w:r>
      <w:r>
        <w:t xml:space="preserve"> </w:t>
      </w:r>
      <w:r>
        <w:t xml:space="preserve">system architecture (a three-tier</w:t>
      </w:r>
      <w:r>
        <w:t xml:space="preserve"> </w:t>
      </w:r>
      <w:r>
        <w:rPr>
          <w:b/>
          <w:bCs/>
        </w:rPr>
        <w:t xml:space="preserve">modular monolith</w:t>
      </w:r>
      <w:r>
        <w:t xml:space="preserve">), the PostgreSQL data model and a role-secured</w:t>
      </w:r>
      <w:r>
        <w:t xml:space="preserve"> </w:t>
      </w:r>
      <w:r>
        <w:t xml:space="preserve">REST API were designed; and a full-stack prototype was implemented using Next.js/React, Java Spring</w:t>
      </w:r>
      <w:r>
        <w:t xml:space="preserve"> </w:t>
      </w:r>
      <w:r>
        <w:t xml:space="preserve">Boot and PostgreSQL. Six core processes — authentication, attendance management, student evaluation,</w:t>
      </w:r>
      <w:r>
        <w:t xml:space="preserve"> </w:t>
      </w:r>
      <w:r>
        <w:t xml:space="preserve">analytics generation, at-risk detection and administrative monitoring — were modelled and traced</w:t>
      </w:r>
      <w:r>
        <w:t xml:space="preserve"> </w:t>
      </w:r>
      <w:r>
        <w:t xml:space="preserve">end-to-end into architecture modules, database entities, API endpoints and validation evidence, with</w:t>
      </w:r>
      <w:r>
        <w:t xml:space="preserve"> </w:t>
      </w:r>
      <w:r>
        <w:t xml:space="preserve">every link verified against the shipped codebase. Evaluation combined functional and user-acceptance</w:t>
      </w:r>
      <w:r>
        <w:t xml:space="preserve"> </w:t>
      </w:r>
      <w:r>
        <w:t xml:space="preserve">testing with a structured effectiveness assessment rather than human-subject data collection. The</w:t>
      </w:r>
      <w:r>
        <w:t xml:space="preserve"> </w:t>
      </w:r>
      <w:r>
        <w:t xml:space="preserve">system demonstrated that a transparent, configurable scoring model, synchronous recomputation and</w:t>
      </w:r>
      <w:r>
        <w:t xml:space="preserve"> </w:t>
      </w:r>
      <w:r>
        <w:t xml:space="preserve">strict role-based access control can deliver accurate, explainable and accessible student evaluation</w:t>
      </w:r>
      <w:r>
        <w:t xml:space="preserve"> </w:t>
      </w:r>
      <w:r>
        <w:t xml:space="preserve">without resorting to black-box prediction. The project concludes that a modular, role-aware analytics</w:t>
      </w:r>
      <w:r>
        <w:t xml:space="preserve"> </w:t>
      </w:r>
      <w:r>
        <w:t xml:space="preserve">platform meaningfully addresses the limitations of single-number grading, and contributes a fully</w:t>
      </w:r>
      <w:r>
        <w:t xml:space="preserve"> </w:t>
      </w:r>
      <w:r>
        <w:t xml:space="preserve">traceable, open-source reference implementation together with recommendations for practitioners and</w:t>
      </w:r>
      <w:r>
        <w:t xml:space="preserve"> </w:t>
      </w:r>
      <w:r>
        <w:t xml:space="preserve">future researchers.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student analytics; learning analytics; composite score; transparent evaluation; web</w:t>
      </w:r>
      <w:r>
        <w:t xml:space="preserve"> </w:t>
      </w:r>
      <w:r>
        <w:t xml:space="preserve">information system; role-based access control; Spring Boot; PostgreSQL.</w:t>
      </w:r>
    </w:p>
    <w:bookmarkEnd w:id="13"/>
    <w:bookmarkStart w:id="14" w:name="table-of-contents"/>
    <w:p>
      <w:pPr>
        <w:pStyle w:val="Heading2"/>
      </w:pPr>
      <w:r>
        <w:t xml:space="preserve">Table of Contents</w:t>
      </w:r>
    </w:p>
    <w:p>
      <w:pPr>
        <w:pStyle w:val="BlockText"/>
      </w:pPr>
      <w:r>
        <w:rPr>
          <w:i/>
          <w:iCs/>
        </w:rPr>
        <w:t xml:space="preserve">Auto-generated at .docx assembly. Structure below mirrors the BTEC template and the chapter files</w:t>
      </w:r>
      <w:r>
        <w:rPr>
          <w:i/>
          <w:iCs/>
        </w:rPr>
        <w:t xml:space="preserve"> </w:t>
      </w:r>
      <w:r>
        <w:rPr>
          <w:i/>
          <w:iCs/>
        </w:rPr>
        <w:t xml:space="preserve">in this folder. Page numbers populate on field update in Word.</w:t>
      </w:r>
    </w:p>
    <w:p>
      <w:pPr>
        <w:pStyle w:val="Compact"/>
        <w:numPr>
          <w:ilvl w:val="0"/>
          <w:numId w:val="1002"/>
        </w:numPr>
      </w:pPr>
      <w:r>
        <w:t xml:space="preserve">Declaration of Originality</w:t>
      </w:r>
    </w:p>
    <w:p>
      <w:pPr>
        <w:pStyle w:val="Compact"/>
        <w:numPr>
          <w:ilvl w:val="0"/>
          <w:numId w:val="1002"/>
        </w:numPr>
      </w:pPr>
      <w:r>
        <w:t xml:space="preserve">Acknowledgements</w:t>
      </w:r>
    </w:p>
    <w:p>
      <w:pPr>
        <w:pStyle w:val="Compact"/>
        <w:numPr>
          <w:ilvl w:val="0"/>
          <w:numId w:val="1002"/>
        </w:numPr>
      </w:pPr>
      <w:r>
        <w:t xml:space="preserve">Abstract</w:t>
      </w:r>
    </w:p>
    <w:p>
      <w:pPr>
        <w:pStyle w:val="Compact"/>
        <w:numPr>
          <w:ilvl w:val="0"/>
          <w:numId w:val="1002"/>
        </w:numPr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r>
        <w:t xml:space="preserve">List of Figures</w:t>
      </w:r>
    </w:p>
    <w:p>
      <w:pPr>
        <w:pStyle w:val="Compact"/>
        <w:numPr>
          <w:ilvl w:val="0"/>
          <w:numId w:val="1002"/>
        </w:numPr>
      </w:pPr>
      <w:r>
        <w:t xml:space="preserve">List of Tables</w:t>
      </w:r>
    </w:p>
    <w:p>
      <w:pPr>
        <w:pStyle w:val="Compact"/>
        <w:numPr>
          <w:ilvl w:val="0"/>
          <w:numId w:val="1002"/>
        </w:numPr>
      </w:pPr>
      <w:r>
        <w:t xml:space="preserve">List of Abbreviations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Chapter 1 — Introduction</w:t>
      </w:r>
    </w:p>
    <w:p>
      <w:pPr>
        <w:pStyle w:val="Compact"/>
        <w:numPr>
          <w:ilvl w:val="1"/>
          <w:numId w:val="1003"/>
        </w:numPr>
      </w:pPr>
      <w:r>
        <w:t xml:space="preserve">1.1 Background and Context · 1.2 Problem Statement · 1.3 Project Aim · 1.4 Project Objectives ·</w:t>
      </w:r>
      <w:r>
        <w:t xml:space="preserve"> </w:t>
      </w:r>
      <w:r>
        <w:t xml:space="preserve">1.5 Research Questions · 1.6 Significance of the Project · 1.7 Scope and Limitations · 1.8 Structure of the Report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Chapter 2 — Literature Review</w:t>
      </w:r>
    </w:p>
    <w:p>
      <w:pPr>
        <w:pStyle w:val="Compact"/>
        <w:numPr>
          <w:ilvl w:val="1"/>
          <w:numId w:val="1004"/>
        </w:numPr>
      </w:pPr>
      <w:r>
        <w:t xml:space="preserve">2.1 Introduction and Search Strategy · 2.2 Theoretical Framework · 2.3 Thematic Review ·</w:t>
      </w:r>
      <w:r>
        <w:t xml:space="preserve"> </w:t>
      </w:r>
      <w:r>
        <w:t xml:space="preserve">2.4 Industry / Practice Review · 2.5 Identification of the Gap · 2.6 Conceptual Framework · 2.7 Summary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Chapter 3 — Project Planning and Methodology</w:t>
      </w:r>
    </w:p>
    <w:p>
      <w:pPr>
        <w:pStyle w:val="Compact"/>
        <w:numPr>
          <w:ilvl w:val="1"/>
          <w:numId w:val="1005"/>
        </w:numPr>
      </w:pPr>
      <w:r>
        <w:t xml:space="preserve">3.1 Research Philosophy and Approach · 3.2 Methodological Choice · 3.3 Project Management Methodology ·</w:t>
      </w:r>
      <w:r>
        <w:t xml:space="preserve"> </w:t>
      </w:r>
      <w:r>
        <w:t xml:space="preserve">3.4 Project Plan (WBS · Gantt · Milestones) · 3.5 Resource Planning · 3.6 Risk Register ·</w:t>
      </w:r>
      <w:r>
        <w:t xml:space="preserve"> </w:t>
      </w:r>
      <w:r>
        <w:t xml:space="preserve">3.7 Ethical Considerations · 3.8 Project Tracking and Documentation · 3.9 Implementation of the Plan ·</w:t>
      </w:r>
      <w:r>
        <w:t xml:space="preserve"> </w:t>
      </w:r>
      <w:r>
        <w:t xml:space="preserve">3.10 Critical Assessment of Project Management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Chapter 4 — System Analysis, Design and Implementation</w:t>
      </w:r>
    </w:p>
    <w:p>
      <w:pPr>
        <w:pStyle w:val="Compact"/>
        <w:numPr>
          <w:ilvl w:val="1"/>
          <w:numId w:val="1006"/>
        </w:numPr>
      </w:pPr>
      <w:r>
        <w:t xml:space="preserve">4.1 Method · 4.2 Analytical Techniques · 4.3 Findings (requirements · architecture · data model ·</w:t>
      </w:r>
      <w:r>
        <w:t xml:space="preserve"> </w:t>
      </w:r>
      <w:r>
        <w:t xml:space="preserve">six core processes P1–P6 · security · key interactions) · 4.4 Comparison of Patterns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Chapter 5 — Discussion</w:t>
      </w:r>
    </w:p>
    <w:p>
      <w:pPr>
        <w:pStyle w:val="Compact"/>
        <w:numPr>
          <w:ilvl w:val="1"/>
          <w:numId w:val="1007"/>
        </w:numPr>
      </w:pPr>
      <w:r>
        <w:t xml:space="preserve">5.1 Interpretation of Findings · 5.2 Comparison with the Literature · 5.3 Validity · 5.4 Reliability ·</w:t>
      </w:r>
      <w:r>
        <w:t xml:space="preserve"> </w:t>
      </w:r>
      <w:r>
        <w:t xml:space="preserve">5.5 Project Effectiveness Evaluation · 5.6 Limitations · 5.7 Implications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Chapter 6 — Conclusion and Recommendations</w:t>
      </w:r>
    </w:p>
    <w:p>
      <w:pPr>
        <w:pStyle w:val="Compact"/>
        <w:numPr>
          <w:ilvl w:val="1"/>
          <w:numId w:val="1008"/>
        </w:numPr>
      </w:pPr>
      <w:r>
        <w:t xml:space="preserve">6.1 Summary · 6.2 Achievement of Objectives · 6.3 Contribution · 6.4 Recommendations · 6.5 Closing Remarks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Chapter 7 — Reflective Evaluation</w:t>
      </w:r>
    </w:p>
    <w:p>
      <w:pPr>
        <w:pStyle w:val="Compact"/>
        <w:numPr>
          <w:ilvl w:val="1"/>
          <w:numId w:val="1009"/>
        </w:numPr>
      </w:pPr>
      <w:r>
        <w:t xml:space="preserve">7.1 Reflective Model · 7.2 Reflection through Gibbs · 7.3 SWOT · 7.4 Transferable Skills · 7.5 Future Development Plan</w:t>
      </w:r>
    </w:p>
    <w:p>
      <w:pPr>
        <w:pStyle w:val="Compact"/>
        <w:numPr>
          <w:ilvl w:val="0"/>
          <w:numId w:val="1002"/>
        </w:numPr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Appendices A–K</w:t>
      </w:r>
    </w:p>
    <w:bookmarkEnd w:id="14"/>
    <w:bookmarkStart w:id="15" w:name="list-of-figures"/>
    <w:p>
      <w:pPr>
        <w:pStyle w:val="Heading2"/>
      </w:pPr>
      <w:r>
        <w:t xml:space="preserve">List of Figures</w:t>
      </w:r>
    </w:p>
    <w:p>
      <w:pPr>
        <w:pStyle w:val="BlockText"/>
      </w:pPr>
      <w:r>
        <w:rPr>
          <w:i/>
          <w:iCs/>
        </w:rPr>
        <w:t xml:space="preserve">Page numbers populate at .docx assembly.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Figure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Conceptual framework: from process intent to a validated student-analytics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Work Breakdown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Project Gantt chart (24 weeks, 6 phases)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Risk heat-map (Probability × Impact, R01–R10)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Project-tracking tool</w:t>
            </w:r>
            <w:r>
              <w:t xml:space="preserve"> </w:t>
            </w:r>
            <w:r>
              <w:rPr>
                <w:i/>
                <w:iCs/>
              </w:rPr>
              <w:t xml:space="preserve">(screenshot — student-supplied)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4.1–4.4</w:t>
            </w:r>
          </w:p>
        </w:tc>
        <w:tc>
          <w:tcPr/>
          <w:p>
            <w:pPr>
              <w:pStyle w:val="Compact"/>
            </w:pPr>
            <w:r>
              <w:t xml:space="preserve">C4 context · C4 container · component/module map ·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Entity-Relationship Diagram (full schema)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4.6–4.11</w:t>
            </w:r>
          </w:p>
        </w:tc>
        <w:tc>
          <w:tcPr/>
          <w:p>
            <w:pPr>
              <w:pStyle w:val="Compact"/>
            </w:pPr>
            <w:r>
              <w:t xml:space="preserve">Process models — P1 Authentication · P2 Attendance · P3 Evaluation · P4 Analytics · P5 At-Risk · P6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4.12–4.15</w:t>
            </w:r>
          </w:p>
        </w:tc>
        <w:tc>
          <w:tcPr/>
          <w:p>
            <w:pPr>
              <w:pStyle w:val="Compact"/>
            </w:pPr>
            <w:r>
              <w:t xml:space="preserve">Sequences — login · bulk-attendance recompute · dashboard composition · security filter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4.16–4.17</w:t>
            </w:r>
          </w:p>
        </w:tc>
        <w:tc>
          <w:tcPr/>
          <w:p>
            <w:pPr>
              <w:pStyle w:val="Compact"/>
            </w:pPr>
            <w:r>
              <w:t xml:space="preserve">Process-complexity comparison · requirement→artefact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5.1–5.4</w:t>
            </w:r>
          </w:p>
        </w:tc>
        <w:tc>
          <w:tcPr/>
          <w:p>
            <w:pPr>
              <w:pStyle w:val="Compact"/>
            </w:pPr>
            <w:r>
              <w:t xml:space="preserve">Objectives RAG · test pass-rate · growth radar · growth 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J.1–J.10</w:t>
            </w:r>
          </w:p>
        </w:tc>
        <w:tc>
          <w:tcPr/>
          <w:p>
            <w:pPr>
              <w:pStyle w:val="Compact"/>
            </w:pPr>
            <w:r>
              <w:t xml:space="preserve">UI screenshots</w:t>
            </w:r>
            <w:r>
              <w:t xml:space="preserve"> </w:t>
            </w:r>
            <w:r>
              <w:rPr>
                <w:i/>
                <w:iCs/>
              </w:rPr>
              <w:t xml:space="preserve">(student-supplied — see Appendix J)</w:t>
            </w:r>
          </w:p>
        </w:tc>
      </w:tr>
    </w:tbl>
    <w:bookmarkEnd w:id="15"/>
    <w:bookmarkStart w:id="16" w:name="list-of-tables"/>
    <w:p>
      <w:pPr>
        <w:pStyle w:val="Heading2"/>
      </w:pPr>
      <w:r>
        <w:t xml:space="preserve">List of Tables</w:t>
      </w:r>
    </w:p>
    <w:p>
      <w:pPr>
        <w:pStyle w:val="BlockText"/>
      </w:pPr>
      <w:r>
        <w:rPr>
          <w:i/>
          <w:iCs/>
        </w:rPr>
        <w:t xml:space="preserve">Page numbers populate at .docx assembly.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Table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Milestones and critical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Resource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Risk register (R01–R10)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Artefact inventory of EduMetric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4.1–4.6</w:t>
            </w:r>
          </w:p>
        </w:tc>
        <w:tc>
          <w:tcPr/>
          <w:p>
            <w:pPr>
              <w:pStyle w:val="Compact"/>
            </w:pPr>
            <w:r>
              <w:t xml:space="preserve">Per-process traceability matrices (P1–P6)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  <w:r>
              <w:t xml:space="preserve">Process → architecture module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Project effectiveness evaluation (RAG)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C.1</w:t>
            </w:r>
          </w:p>
        </w:tc>
        <w:tc>
          <w:tcPr/>
          <w:p>
            <w:pPr>
              <w:pStyle w:val="Compact"/>
            </w:pPr>
            <w:r>
              <w:t xml:space="preserve">Risk register (full, with owner and contingency)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F.1–F.2</w:t>
            </w:r>
          </w:p>
        </w:tc>
        <w:tc>
          <w:tcPr/>
          <w:p>
            <w:pPr>
              <w:pStyle w:val="Compact"/>
            </w:pPr>
            <w:r>
              <w:t xml:space="preserve">Anonymised</w:t>
            </w:r>
            <w:r>
              <w:t xml:space="preserve"> </w:t>
            </w:r>
            <w:r>
              <w:rPr>
                <w:rStyle w:val="VerbatimChar"/>
              </w:rPr>
              <w:t xml:space="preserve">student_metrics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metric_snapshots</w:t>
            </w:r>
            <w:r>
              <w:t xml:space="preserve"> </w:t>
            </w:r>
            <w:r>
              <w:t xml:space="preserve">extracts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I.1</w:t>
            </w:r>
          </w:p>
        </w:tc>
        <w:tc>
          <w:tcPr/>
          <w:p>
            <w:pPr>
              <w:pStyle w:val="Compact"/>
            </w:pPr>
            <w:r>
              <w:t xml:space="preserve">BTEC assessment-criteria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K.1</w:t>
            </w:r>
          </w:p>
        </w:tc>
        <w:tc>
          <w:tcPr/>
          <w:p>
            <w:pPr>
              <w:pStyle w:val="Compact"/>
            </w:pPr>
            <w:r>
              <w:t xml:space="preserve">Test-case results (TC-AUTH-01 … TC-ADMIN-05)</w:t>
            </w:r>
          </w:p>
        </w:tc>
      </w:tr>
    </w:tbl>
    <w:bookmarkEnd w:id="16"/>
    <w:bookmarkStart w:id="17" w:name="list-of-abbreviations"/>
    <w:p>
      <w:pPr>
        <w:pStyle w:val="Heading2"/>
      </w:pPr>
      <w:r>
        <w:t xml:space="preserve">List of Abbreviations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Abbreviation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BCrypt</w:t>
            </w:r>
          </w:p>
        </w:tc>
        <w:tc>
          <w:tcPr/>
          <w:p>
            <w:pPr>
              <w:pStyle w:val="Compact"/>
            </w:pPr>
            <w:r>
              <w:t xml:space="preserve">Blowfish-based password-hashing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BPMN</w:t>
            </w:r>
          </w:p>
        </w:tc>
        <w:tc>
          <w:tcPr/>
          <w:p>
            <w:pPr>
              <w:pStyle w:val="Compact"/>
            </w:pPr>
            <w:r>
              <w:t xml:space="preserve">Business Process Model and Notation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BTEC</w:t>
            </w:r>
          </w:p>
        </w:tc>
        <w:tc>
          <w:tcPr/>
          <w:p>
            <w:pPr>
              <w:pStyle w:val="Compact"/>
            </w:pPr>
            <w:r>
              <w:t xml:space="preserve">Business and Technology Education Council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Context, Containers, Components, Code (architecture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</w:t>
            </w:r>
          </w:p>
        </w:tc>
        <w:tc>
          <w:tcPr/>
          <w:p>
            <w:pPr>
              <w:pStyle w:val="Compact"/>
            </w:pPr>
            <w:r>
              <w:t xml:space="preserve">Customer / Constituent Relationship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Create, Read, Update,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</w:t>
            </w:r>
          </w:p>
        </w:tc>
        <w:tc>
          <w:tcPr/>
          <w:p>
            <w:pPr>
              <w:pStyle w:val="Compact"/>
            </w:pPr>
            <w:r>
              <w:t xml:space="preserve">Cross-Site Request Forgery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t xml:space="preserve">Data Transfer Object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ERD</w:t>
            </w:r>
          </w:p>
        </w:tc>
        <w:tc>
          <w:tcPr/>
          <w:p>
            <w:pPr>
              <w:pStyle w:val="Compact"/>
            </w:pPr>
            <w:r>
              <w:t xml:space="preserve">Entity-Relationship 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General Data Protection Regulation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GPA</w:t>
            </w:r>
          </w:p>
        </w:tc>
        <w:tc>
          <w:tcPr/>
          <w:p>
            <w:pPr>
              <w:pStyle w:val="Compact"/>
            </w:pPr>
            <w:r>
              <w:t xml:space="preserve">Grade-Point Average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HS256</w:t>
            </w:r>
          </w:p>
        </w:tc>
        <w:tc>
          <w:tcPr/>
          <w:p>
            <w:pPr>
              <w:pStyle w:val="Compact"/>
            </w:pPr>
            <w:r>
              <w:t xml:space="preserve">HMAC-SHA-256 (JWT signing algorithm)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Hypertext Transfer 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ISSM</w:t>
            </w:r>
          </w:p>
        </w:tc>
        <w:tc>
          <w:tcPr/>
          <w:p>
            <w:pPr>
              <w:pStyle w:val="Compact"/>
            </w:pPr>
            <w:r>
              <w:t xml:space="preserve">Information Systems Success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JPA</w:t>
            </w:r>
          </w:p>
        </w:tc>
        <w:tc>
          <w:tcPr/>
          <w:p>
            <w:pPr>
              <w:pStyle w:val="Compact"/>
            </w:pPr>
            <w:r>
              <w:t xml:space="preserve">Jakarta Persistence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Key Performance Indicator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LMS</w:t>
            </w:r>
          </w:p>
        </w:tc>
        <w:tc>
          <w:tcPr/>
          <w:p>
            <w:pPr>
              <w:pStyle w:val="Compact"/>
            </w:pPr>
            <w:r>
              <w:t xml:space="preserve">Learning Management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Learning Outcome (BTEC)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</w:t>
            </w:r>
          </w:p>
        </w:tc>
        <w:tc>
          <w:tcPr/>
          <w:p>
            <w:pPr>
              <w:pStyle w:val="Compact"/>
            </w:pPr>
            <w:r>
              <w:t xml:space="preserve">Multi-Factor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Object-Relational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 / M / D</w:t>
            </w:r>
          </w:p>
        </w:tc>
        <w:tc>
          <w:tcPr/>
          <w:p>
            <w:pPr>
              <w:pStyle w:val="Compact"/>
            </w:pPr>
            <w:r>
              <w:t xml:space="preserve">Pass / Merit / Distinction (BTEC criteria)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Red–Amber–Green (status rating)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Representational State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</w:t>
            </w:r>
          </w:p>
        </w:tc>
        <w:tc>
          <w:tcPr/>
          <w:p>
            <w:pPr>
              <w:pStyle w:val="Compact"/>
            </w:pPr>
            <w:r>
              <w:t xml:space="preserve">Research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</w:t>
            </w:r>
          </w:p>
        </w:tc>
        <w:tc>
          <w:tcPr/>
          <w:p>
            <w:pPr>
              <w:pStyle w:val="Compact"/>
            </w:pPr>
            <w:r>
              <w:t xml:space="preserve">Student Information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</w:t>
            </w:r>
          </w:p>
        </w:tc>
        <w:tc>
          <w:tcPr/>
          <w:p>
            <w:pPr>
              <w:pStyle w:val="Compact"/>
            </w:pPr>
            <w:r>
              <w:t xml:space="preserve">Specific, Measurable, Achievable, Relevant, Time-bound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Structured Query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SSR</w:t>
            </w:r>
          </w:p>
        </w:tc>
        <w:tc>
          <w:tcPr/>
          <w:p>
            <w:pPr>
              <w:pStyle w:val="Compact"/>
            </w:pPr>
            <w:r>
              <w:t xml:space="preserve">Server-Side Rendering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SWOT</w:t>
            </w:r>
          </w:p>
        </w:tc>
        <w:tc>
          <w:tcPr/>
          <w:p>
            <w:pPr>
              <w:pStyle w:val="Compact"/>
            </w:pPr>
            <w:r>
              <w:t xml:space="preserve">Strengths, Weaknesses, Opportunities, Threats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</w:t>
            </w:r>
          </w:p>
        </w:tc>
        <w:tc>
          <w:tcPr/>
          <w:p>
            <w:pPr>
              <w:pStyle w:val="Compact"/>
            </w:pPr>
            <w:r>
              <w:t xml:space="preserve">Technology Acceptance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Time To Live (cache)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User Acceptance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/ UX</w:t>
            </w:r>
          </w:p>
        </w:tc>
        <w:tc>
          <w:tcPr/>
          <w:p>
            <w:pPr>
              <w:pStyle w:val="Compact"/>
            </w:pPr>
            <w:r>
              <w:t xml:space="preserve">User Interface / User Experience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UML</w:t>
            </w:r>
          </w:p>
        </w:tc>
        <w:tc>
          <w:tcPr/>
          <w:p>
            <w:pPr>
              <w:pStyle w:val="Compact"/>
            </w:pPr>
            <w:r>
              <w:t xml:space="preserve">Unified Modeling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VPS</w:t>
            </w:r>
          </w:p>
        </w:tc>
        <w:tc>
          <w:tcPr/>
          <w:p>
            <w:pPr>
              <w:pStyle w:val="Compact"/>
            </w:pPr>
            <w:r>
              <w:t xml:space="preserve">Virtual Private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WBS</w:t>
            </w:r>
          </w:p>
        </w:tc>
        <w:tc>
          <w:tcPr/>
          <w:p>
            <w:pPr>
              <w:pStyle w:val="Compact"/>
            </w:pPr>
            <w:r>
              <w:t xml:space="preserve">Work Breakdown Structure</w:t>
            </w:r>
          </w:p>
        </w:tc>
      </w:tr>
    </w:tbl>
    <w:bookmarkEnd w:id="17"/>
    <w:bookmarkStart w:id="26" w:name="chapter-1-introduction"/>
    <w:p>
      <w:pPr>
        <w:pStyle w:val="Heading1"/>
        <w:pageBreakBefore/>
      </w:pPr>
      <w:r>
        <w:t xml:space="preserve">Chapter 1 — Introduction</w:t>
      </w:r>
    </w:p>
    <w:p>
      <w:pPr>
        <w:pStyle w:val="FirstParagraph"/>
      </w:pPr>
      <w:r>
        <w:rPr>
          <w:i/>
          <w:iCs/>
        </w:rPr>
        <w:t xml:space="preserve">Addresses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LO1 — P1, P2 | M1 | D1</w:t>
      </w:r>
    </w:p>
    <w:bookmarkStart w:id="18" w:name="background-and-context"/>
    <w:p>
      <w:pPr>
        <w:pStyle w:val="Heading2"/>
      </w:pPr>
      <w:r>
        <w:t xml:space="preserve">1.1 Background and Context</w:t>
      </w:r>
    </w:p>
    <w:p>
      <w:pPr>
        <w:pStyle w:val="FirstParagraph"/>
      </w:pPr>
      <w:r>
        <w:t xml:space="preserve">The digitalisation of education across Uzbekistan and the wider Central Asian region has accelerated</w:t>
      </w:r>
      <w:r>
        <w:t xml:space="preserve"> </w:t>
      </w:r>
      <w:r>
        <w:t xml:space="preserve">sharply over the past decade, as universities and private IT academies adopt learning-management and</w:t>
      </w:r>
      <w:r>
        <w:t xml:space="preserve"> </w:t>
      </w:r>
      <w:r>
        <w:t xml:space="preserve">student-information systems to administer enrolment, attendance and assessment at scale. Yet the</w:t>
      </w:r>
      <w:r>
        <w:t xml:space="preserve"> </w:t>
      </w:r>
      <w:r>
        <w:t xml:space="preserve">majority of these systems remain</w:t>
      </w:r>
      <w:r>
        <w:t xml:space="preserve"> </w:t>
      </w:r>
      <w:r>
        <w:rPr>
          <w:i/>
          <w:iCs/>
        </w:rPr>
        <w:t xml:space="preserve">records of account</w:t>
      </w:r>
      <w:r>
        <w:t xml:space="preserve">: they store grades, compute a single</w:t>
      </w:r>
      <w:r>
        <w:t xml:space="preserve"> </w:t>
      </w:r>
      <w:r>
        <w:t xml:space="preserve">grade-point average (GPA) and report it back. They capture what a student scored, but they say little</w:t>
      </w:r>
      <w:r>
        <w:t xml:space="preserve"> </w:t>
      </w:r>
      <w:r>
        <w:t xml:space="preserve">about</w:t>
      </w:r>
      <w:r>
        <w:t xml:space="preserve"> </w:t>
      </w:r>
      <w:r>
        <w:rPr>
          <w:i/>
          <w:iCs/>
        </w:rPr>
        <w:t xml:space="preserve">how that student is developing</w:t>
      </w:r>
      <w:r>
        <w:t xml:space="preserve"> </w:t>
      </w:r>
      <w:r>
        <w:t xml:space="preserve">— whether attendance is slipping, whether practical performance</w:t>
      </w:r>
      <w:r>
        <w:t xml:space="preserve"> </w:t>
      </w:r>
      <w:r>
        <w:t xml:space="preserve">is diverging from theory marks, or whether a learner who looks average today is in fact on a declining</w:t>
      </w:r>
      <w:r>
        <w:t xml:space="preserve"> </w:t>
      </w:r>
      <w:r>
        <w:t xml:space="preserve">trajectory. The institutional need is shifting from recording outcomes to</w:t>
      </w:r>
      <w:r>
        <w:t xml:space="preserve"> </w:t>
      </w:r>
      <w:r>
        <w:rPr>
          <w:b/>
          <w:bCs/>
        </w:rPr>
        <w:t xml:space="preserve">understanding student</w:t>
      </w:r>
      <w:r>
        <w:rPr>
          <w:b/>
          <w:bCs/>
        </w:rPr>
        <w:t xml:space="preserve"> </w:t>
      </w:r>
      <w:r>
        <w:rPr>
          <w:b/>
          <w:bCs/>
        </w:rPr>
        <w:t xml:space="preserve">growth</w:t>
      </w:r>
      <w:r>
        <w:t xml:space="preserve">, a shift that the learning-analytics literature has framed as moving</w:t>
      </w:r>
      <w:r>
        <w:t xml:space="preserve"> </w:t>
      </w:r>
      <w:r>
        <w:t xml:space="preserve">“from data to insight”</w:t>
      </w:r>
      <w:r>
        <w:t xml:space="preserve"> </w:t>
      </w:r>
      <w:r>
        <w:t xml:space="preserve">in the service of timely intervention (Siemens and Long, 2011; Ferguson, 2012).</w:t>
      </w:r>
    </w:p>
    <w:p>
      <w:pPr>
        <w:pStyle w:val="BodyText"/>
      </w:pPr>
      <w:r>
        <w:t xml:space="preserve">This project responds to that shift by designing, building and evaluating</w:t>
      </w:r>
      <w:r>
        <w:t xml:space="preserve"> </w:t>
      </w:r>
      <w:r>
        <w:rPr>
          <w:b/>
          <w:bCs/>
        </w:rPr>
        <w:t xml:space="preserve">EduMetric</w:t>
      </w:r>
      <w:r>
        <w:t xml:space="preserve">, a web-based,</w:t>
      </w:r>
      <w:r>
        <w:t xml:space="preserve"> </w:t>
      </w:r>
      <w:r>
        <w:t xml:space="preserve">multi-dimensional student performance analytics system. EduMetric replaces</w:t>
      </w:r>
      <w:r>
        <w:t xml:space="preserve"> </w:t>
      </w:r>
      <w:r>
        <w:t xml:space="preserve">“GPA as a single number”</w:t>
      </w:r>
      <w:r>
        <w:t xml:space="preserve"> </w:t>
      </w:r>
      <w:r>
        <w:t xml:space="preserve">with a transparent</w:t>
      </w:r>
      <w:r>
        <w:t xml:space="preserve"> </w:t>
      </w:r>
      <w:r>
        <w:rPr>
          <w:b/>
          <w:bCs/>
        </w:rPr>
        <w:t xml:space="preserve">composite score</w:t>
      </w:r>
      <w:r>
        <w:t xml:space="preserve"> </w:t>
      </w:r>
      <w:r>
        <w:t xml:space="preserve">computed across several weighted dimensions — grades,</w:t>
      </w:r>
      <w:r>
        <w:t xml:space="preserve"> </w:t>
      </w:r>
      <w:r>
        <w:t xml:space="preserve">attendance, practical work, behaviour and activity, plus growth and consistency bonuses — and surfaces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growth trend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at-risk detection</w:t>
      </w:r>
      <w:r>
        <w:t xml:space="preserve"> </w:t>
      </w:r>
      <w:r>
        <w:t xml:space="preserve">signal for each learner. The system is built as a</w:t>
      </w:r>
      <w:r>
        <w:t xml:space="preserve"> </w:t>
      </w:r>
      <w:r>
        <w:t xml:space="preserve">full-stack web application: a Next.js/React single-page frontend, a Java Spring Boot REST backend and</w:t>
      </w:r>
      <w:r>
        <w:t xml:space="preserve"> </w:t>
      </w:r>
      <w:r>
        <w:t xml:space="preserve">a PostgreSQL relational database, deployed as a single</w:t>
      </w:r>
      <w:r>
        <w:t xml:space="preserve"> </w:t>
      </w:r>
      <w:r>
        <w:rPr>
          <w:b/>
          <w:bCs/>
        </w:rPr>
        <w:t xml:space="preserve">modular monolith</w:t>
      </w:r>
      <w:r>
        <w:t xml:space="preserve">. It deliberately rejects</w:t>
      </w:r>
      <w:r>
        <w:t xml:space="preserve"> </w:t>
      </w:r>
      <w:r>
        <w:t xml:space="preserve">black-box machine-learning scoring in favour of a configurable, auditable formula, on the principle</w:t>
      </w:r>
      <w:r>
        <w:t xml:space="preserve"> </w:t>
      </w:r>
      <w:r>
        <w:t xml:space="preserve">that decisions affecting a student’s academic standing must be explainable (Slade and Prinsloo, 2013).</w:t>
      </w:r>
    </w:p>
    <w:p>
      <w:pPr>
        <w:pStyle w:val="BodyText"/>
      </w:pPr>
      <w:r>
        <w:t xml:space="preserve">An education analytics platform of this kind sits at the intersection of web-application development,</w:t>
      </w:r>
      <w:r>
        <w:t xml:space="preserve"> </w:t>
      </w:r>
      <w:r>
        <w:t xml:space="preserve">relational database design, information security, user-experience design and process automation — all</w:t>
      </w:r>
      <w:r>
        <w:t xml:space="preserve"> </w:t>
      </w:r>
      <w:r>
        <w:t xml:space="preserve">core competencies of the Business Information Technology curriculum. EduMetric is therefore both a</w:t>
      </w:r>
      <w:r>
        <w:t xml:space="preserve"> </w:t>
      </w:r>
      <w:r>
        <w:t xml:space="preserve">practically useful artefact for institutions and an appropriate vehicle for demonstrating the</w:t>
      </w:r>
      <w:r>
        <w:t xml:space="preserve"> </w:t>
      </w:r>
      <w:r>
        <w:t xml:space="preserve">end-to-end software-engineering process this dissertation sets out to evidence.</w:t>
      </w:r>
    </w:p>
    <w:bookmarkEnd w:id="18"/>
    <w:bookmarkStart w:id="19" w:name="problem-statement"/>
    <w:p>
      <w:pPr>
        <w:pStyle w:val="Heading2"/>
      </w:pPr>
      <w:r>
        <w:t xml:space="preserve">1.2 Problem Statement</w:t>
      </w:r>
    </w:p>
    <w:p>
      <w:pPr>
        <w:pStyle w:val="FirstParagraph"/>
      </w:pPr>
      <w:r>
        <w:t xml:space="preserve">In many educational institutions, student evaluation, attendance monitoring and progress reporting</w:t>
      </w:r>
      <w:r>
        <w:t xml:space="preserve"> </w:t>
      </w:r>
      <w:r>
        <w:t xml:space="preserve">rely on disconnected spreadsheets, separate gradebooks and informal communication. This fragmented</w:t>
      </w:r>
      <w:r>
        <w:t xml:space="preserve"> </w:t>
      </w:r>
      <w:r>
        <w:t xml:space="preserve">approach produces a recurring set of problems, confirmed through preliminary domain analysis and the</w:t>
      </w:r>
      <w:r>
        <w:t xml:space="preserve"> </w:t>
      </w:r>
      <w:r>
        <w:t xml:space="preserve">EduMetric product master document: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 single number hides growth.</w:t>
      </w:r>
      <w:r>
        <w:t xml:space="preserve"> </w:t>
      </w:r>
      <w:r>
        <w:t xml:space="preserve">A GPA averages away the dimensions that matter for early support;</w:t>
      </w:r>
      <w:r>
        <w:t xml:space="preserve"> </w:t>
      </w:r>
      <w:r>
        <w:t xml:space="preserve">a student weak in practical work but strong in theory looks</w:t>
      </w:r>
      <w:r>
        <w:t xml:space="preserve"> </w:t>
      </w:r>
      <w:r>
        <w:t xml:space="preserve">“average,”</w:t>
      </w:r>
      <w:r>
        <w:t xml:space="preserve"> </w:t>
      </w:r>
      <w:r>
        <w:t xml:space="preserve">and a declining attendance</w:t>
      </w:r>
      <w:r>
        <w:t xml:space="preserve"> </w:t>
      </w:r>
      <w:r>
        <w:t xml:space="preserve">trend is invisible until results collapse (Macfadyen and Dawson, 2010).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 fragmentation.</w:t>
      </w:r>
      <w:r>
        <w:t xml:space="preserve"> </w:t>
      </w:r>
      <w:r>
        <w:t xml:space="preserve">Grades, attendance and behaviour live in separate files, causing version</w:t>
      </w:r>
      <w:r>
        <w:t xml:space="preserve"> </w:t>
      </w:r>
      <w:r>
        <w:t xml:space="preserve">conflicts, duplication and slow, manual report compilation.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Late at-risk identification.</w:t>
      </w:r>
      <w:r>
        <w:t xml:space="preserve"> </w:t>
      </w:r>
      <w:r>
        <w:t xml:space="preserve">Without continuous, multi-factor monitoring, teachers learn that a</w:t>
      </w:r>
      <w:r>
        <w:t xml:space="preserve"> </w:t>
      </w:r>
      <w:r>
        <w:t xml:space="preserve">student is failing only after the fact, when intervention is least effective (Arnold and Pistilli, 2012).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Opacity of scoring.</w:t>
      </w:r>
      <w:r>
        <w:t xml:space="preserve"> </w:t>
      </w:r>
      <w:r>
        <w:t xml:space="preserve">Where institutions do adopt analytics, the scoring is often a black box,</w:t>
      </w:r>
      <w:r>
        <w:t xml:space="preserve"> </w:t>
      </w:r>
      <w:r>
        <w:t xml:space="preserve">undermining trust and the right of students to understand decisions made about them.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Weak access control.</w:t>
      </w:r>
      <w:r>
        <w:t xml:space="preserve"> </w:t>
      </w:r>
      <w:r>
        <w:t xml:space="preserve">Sensitive academic records are frequently accessible beyond the staff who</w:t>
      </w:r>
      <w:r>
        <w:t xml:space="preserve"> </w:t>
      </w:r>
      <w:r>
        <w:t xml:space="preserve">need them, with no role-based protection or audit trail.</w:t>
      </w:r>
    </w:p>
    <w:p>
      <w:pPr>
        <w:pStyle w:val="FirstParagraph"/>
      </w:pPr>
      <w:r>
        <w:t xml:space="preserve">The engineering problem this project addresses is therefore to turn these informally understood</w:t>
      </w:r>
      <w:r>
        <w:t xml:space="preserve"> </w:t>
      </w:r>
      <w:r>
        <w:t xml:space="preserve">processes — authentication, attendance management, student evaluation, analytics generation, at-risk</w:t>
      </w:r>
      <w:r>
        <w:t xml:space="preserve"> </w:t>
      </w:r>
      <w:r>
        <w:t xml:space="preserve">detection and administrative monitoring — into precise, verifiable software: an architecture, a data</w:t>
      </w:r>
      <w:r>
        <w:t xml:space="preserve"> </w:t>
      </w:r>
      <w:r>
        <w:t xml:space="preserve">model, a set of REST endpoints and a body of test evidence, derived rigorously from requirements so</w:t>
      </w:r>
      <w:r>
        <w:t xml:space="preserve"> </w:t>
      </w:r>
      <w:r>
        <w:t xml:space="preserve">that what was intended, what was designed and what was built do not diverge (Sommerville, 2016).</w:t>
      </w:r>
    </w:p>
    <w:bookmarkEnd w:id="19"/>
    <w:bookmarkStart w:id="20" w:name="project-aim"/>
    <w:p>
      <w:pPr>
        <w:pStyle w:val="Heading2"/>
      </w:pPr>
      <w:r>
        <w:t xml:space="preserve">1.3 Project Aim</w:t>
      </w:r>
    </w:p>
    <w:p>
      <w:pPr>
        <w:pStyle w:val="BlockText"/>
      </w:pPr>
      <w:r>
        <w:t xml:space="preserve">To design, develop and evaluate a web-based, multi-dimensional student performance analytics system</w:t>
      </w:r>
      <w:r>
        <w:t xml:space="preserve"> </w:t>
      </w:r>
      <w:r>
        <w:t xml:space="preserve">that improves the transparency, accuracy and accessibility of student evaluation, attendance</w:t>
      </w:r>
      <w:r>
        <w:t xml:space="preserve"> </w:t>
      </w:r>
      <w:r>
        <w:t xml:space="preserve">management and early at-risk identification in educational institutions.</w:t>
      </w:r>
    </w:p>
    <w:bookmarkEnd w:id="20"/>
    <w:bookmarkStart w:id="21" w:name="project-objectives"/>
    <w:p>
      <w:pPr>
        <w:pStyle w:val="Heading2"/>
      </w:pPr>
      <w:r>
        <w:t xml:space="preserve">1.4 Project Objectives</w:t>
      </w:r>
    </w:p>
    <w:p>
      <w:pPr>
        <w:pStyle w:val="FirstParagraph"/>
      </w:pPr>
      <w:r>
        <w:t xml:space="preserve">The aim is delivered through five SMART objectives (the approved project proposal from which they</w:t>
      </w:r>
      <w:r>
        <w:t xml:space="preserve"> </w:t>
      </w:r>
      <w:r>
        <w:t xml:space="preserve">derive is provided in Appendix A):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Review the literature</w:t>
      </w:r>
      <w:r>
        <w:t xml:space="preserve"> </w:t>
      </w:r>
      <w:r>
        <w:t xml:space="preserve">on learning analytics, educational information systems, multi-dimensional</w:t>
      </w:r>
      <w:r>
        <w:t xml:space="preserve"> </w:t>
      </w:r>
      <w:r>
        <w:t xml:space="preserve">assessment, web-application architecture and data security, synthesising at least 25 quality</w:t>
      </w:r>
      <w:r>
        <w:t xml:space="preserve"> </w:t>
      </w:r>
      <w:r>
        <w:t xml:space="preserve">sources into six thematic strands, to establish the theoretical foundation</w:t>
      </w:r>
      <w:r>
        <w:t xml:space="preserve"> </w:t>
      </w:r>
      <w:r>
        <w:rPr>
          <w:i/>
          <w:iCs/>
        </w:rPr>
        <w:t xml:space="preserve">(Chapter 2)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Analyse and specify</w:t>
      </w:r>
      <w:r>
        <w:t xml:space="preserve"> </w:t>
      </w:r>
      <w:r>
        <w:t xml:space="preserve">the functional and non-functional requirements of a transparent</w:t>
      </w:r>
      <w:r>
        <w:t xml:space="preserve"> </w:t>
      </w:r>
      <w:r>
        <w:t xml:space="preserve">multi-dimensional student-evaluation system, derived from the problem domain and the EduMetric</w:t>
      </w:r>
      <w:r>
        <w:t xml:space="preserve"> </w:t>
      </w:r>
      <w:r>
        <w:t xml:space="preserve">product master document</w:t>
      </w:r>
      <w:r>
        <w:t xml:space="preserve"> </w:t>
      </w:r>
      <w:r>
        <w:rPr>
          <w:i/>
          <w:iCs/>
        </w:rPr>
        <w:t xml:space="preserve">(Chapter 4)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Design</w:t>
      </w:r>
      <w:r>
        <w:t xml:space="preserve"> </w:t>
      </w:r>
      <w:r>
        <w:t xml:space="preserve">the system architecture (a three-tier modular monolith), the PostgreSQL data model</w:t>
      </w:r>
      <w:r>
        <w:t xml:space="preserve"> </w:t>
      </w:r>
      <w:r>
        <w:t xml:space="preserve">(ERD), the six core process models and the role-secured REST API in line with industry best</w:t>
      </w:r>
      <w:r>
        <w:t xml:space="preserve"> </w:t>
      </w:r>
      <w:r>
        <w:t xml:space="preserve">practice</w:t>
      </w:r>
      <w:r>
        <w:t xml:space="preserve"> </w:t>
      </w:r>
      <w:r>
        <w:rPr>
          <w:i/>
          <w:iCs/>
        </w:rPr>
        <w:t xml:space="preserve">(Chapter 4)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Develop</w:t>
      </w:r>
      <w:r>
        <w:t xml:space="preserve"> </w:t>
      </w:r>
      <w:r>
        <w:t xml:space="preserve">a full-stack web prototype — Next.js/React/TypeScript frontend, Java Spring Boot</w:t>
      </w:r>
      <w:r>
        <w:t xml:space="preserve"> </w:t>
      </w:r>
      <w:r>
        <w:t xml:space="preserve">backend, PostgreSQL — implementing the core modules: authentication, attendance, evaluation (the</w:t>
      </w:r>
      <w:r>
        <w:t xml:space="preserve"> </w:t>
      </w:r>
      <w:r>
        <w:t xml:space="preserve">metrics engine), student analytics, at-risk detection and admin monitoring</w:t>
      </w:r>
      <w:r>
        <w:t xml:space="preserve"> </w:t>
      </w:r>
      <w:r>
        <w:rPr>
          <w:i/>
          <w:iCs/>
        </w:rPr>
        <w:t xml:space="preserve">(Chapter 4)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Evaluate</w:t>
      </w:r>
      <w:r>
        <w:t xml:space="preserve"> </w:t>
      </w:r>
      <w:r>
        <w:t xml:space="preserve">the system through functional and user-acceptance testing and a structured</w:t>
      </w:r>
      <w:r>
        <w:t xml:space="preserve"> </w:t>
      </w:r>
      <w:r>
        <w:t xml:space="preserve">effectiveness assessment, producing evidence-based recommendations for practitioners</w:t>
      </w:r>
      <w:r>
        <w:t xml:space="preserve"> </w:t>
      </w:r>
      <w:r>
        <w:rPr>
          <w:i/>
          <w:iCs/>
        </w:rPr>
        <w:t xml:space="preserve">(Chapters 5–6,</w:t>
      </w:r>
      <w:r>
        <w:rPr>
          <w:i/>
          <w:iCs/>
        </w:rPr>
        <w:t xml:space="preserve"> </w:t>
      </w:r>
      <w:r>
        <w:rPr>
          <w:i/>
          <w:iCs/>
        </w:rPr>
        <w:t xml:space="preserve">Appendix K)</w:t>
      </w:r>
      <w:r>
        <w:t xml:space="preserve">.</w:t>
      </w:r>
    </w:p>
    <w:p>
      <w:pPr>
        <w:pStyle w:val="FirstParagraph"/>
      </w:pPr>
      <w:r>
        <w:t xml:space="preserve">Each objective is specific and time-bound against the project plan (§3.4), measurable through a named</w:t>
      </w:r>
      <w:r>
        <w:t xml:space="preserve"> </w:t>
      </w:r>
      <w:r>
        <w:t xml:space="preserve">deliverable, and achievable within the scope defined in §1.7.</w:t>
      </w:r>
    </w:p>
    <w:bookmarkEnd w:id="21"/>
    <w:bookmarkStart w:id="22" w:name="research-questions"/>
    <w:p>
      <w:pPr>
        <w:pStyle w:val="Heading2"/>
      </w:pPr>
      <w:r>
        <w:t xml:space="preserve">1.5 Research Questions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RQ1</w:t>
      </w:r>
      <w:r>
        <w:t xml:space="preserve"> </w:t>
      </w:r>
      <w:r>
        <w:t xml:space="preserve">— What limitations in current student-evaluation and management processes can a web-based</w:t>
      </w:r>
      <w:r>
        <w:t xml:space="preserve"> </w:t>
      </w:r>
      <w:r>
        <w:t xml:space="preserve">information system address?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RQ2</w:t>
      </w:r>
      <w:r>
        <w:t xml:space="preserve"> </w:t>
      </w:r>
      <w:r>
        <w:t xml:space="preserve">— What functional modules and data model are required for a transparent, multi-dimensional</w:t>
      </w:r>
      <w:r>
        <w:t xml:space="preserve"> </w:t>
      </w:r>
      <w:r>
        <w:t xml:space="preserve">student performance analytics system?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RQ3</w:t>
      </w:r>
      <w:r>
        <w:t xml:space="preserve"> </w:t>
      </w:r>
      <w:r>
        <w:t xml:space="preserve">— How can a web-based system improve the transparency, accuracy and accessibility of student</w:t>
      </w:r>
      <w:r>
        <w:t xml:space="preserve"> </w:t>
      </w:r>
      <w:r>
        <w:t xml:space="preserve">evaluation, attendance management and at-risk detection?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RQ4</w:t>
      </w:r>
      <w:r>
        <w:t xml:space="preserve"> </w:t>
      </w:r>
      <w:r>
        <w:t xml:space="preserve">— How should security, privacy and role-based access control be implemented to protect</w:t>
      </w:r>
      <w:r>
        <w:t xml:space="preserve"> </w:t>
      </w:r>
      <w:r>
        <w:t xml:space="preserve">sensitive student data?</w:t>
      </w:r>
    </w:p>
    <w:bookmarkEnd w:id="22"/>
    <w:bookmarkStart w:id="23" w:name="significance-of-the-project"/>
    <w:p>
      <w:pPr>
        <w:pStyle w:val="Heading2"/>
      </w:pPr>
      <w:r>
        <w:t xml:space="preserve">1.6 Significance of the Project</w:t>
      </w:r>
    </w:p>
    <w:p>
      <w:pPr>
        <w:pStyle w:val="FirstParagraph"/>
      </w:pPr>
      <w:r>
        <w:rPr>
          <w:b/>
          <w:bCs/>
        </w:rPr>
        <w:t xml:space="preserve">Academically</w:t>
      </w:r>
      <w:r>
        <w:t xml:space="preserve">, the project contributes a concrete, fully traceable reference implementation of a</w:t>
      </w:r>
      <w:r>
        <w:t xml:space="preserve"> </w:t>
      </w:r>
      <w:r>
        <w:rPr>
          <w:i/>
          <w:iCs/>
        </w:rPr>
        <w:t xml:space="preserve">transparent</w:t>
      </w:r>
      <w:r>
        <w:t xml:space="preserve"> </w:t>
      </w:r>
      <w:r>
        <w:t xml:space="preserve">multi-dimensional evaluation model. While learning analytics is a mature field, much of</w:t>
      </w:r>
      <w:r>
        <w:t xml:space="preserve"> </w:t>
      </w:r>
      <w:r>
        <w:t xml:space="preserve">it emphasises predictive, often opaque models (Romero and Ventura, 2010); comparatively little</w:t>
      </w:r>
      <w:r>
        <w:t xml:space="preserve"> </w:t>
      </w:r>
      <w:r>
        <w:t xml:space="preserve">demonstrates an end-to-end, auditable path from a configurable scoring formula through architecture,</w:t>
      </w:r>
      <w:r>
        <w:t xml:space="preserve"> </w:t>
      </w:r>
      <w:r>
        <w:t xml:space="preserve">schema and API to validating tests within a single non-trivial system. By using a real, multi-module</w:t>
      </w:r>
      <w:r>
        <w:t xml:space="preserve"> </w:t>
      </w:r>
      <w:r>
        <w:t xml:space="preserve">application as the object of study, this dissertation evidences an engineering method rather than a</w:t>
      </w:r>
      <w:r>
        <w:t xml:space="preserve"> </w:t>
      </w:r>
      <w:r>
        <w:t xml:space="preserve">purely conceptual proposal.</w:t>
      </w:r>
    </w:p>
    <w:p>
      <w:pPr>
        <w:pStyle w:val="BodyText"/>
      </w:pPr>
      <w:r>
        <w:rPr>
          <w:b/>
          <w:bCs/>
        </w:rPr>
        <w:t xml:space="preserve">For industry and practice</w:t>
      </w:r>
      <w:r>
        <w:t xml:space="preserve">, EduMetric offers a worked pattern for cost-effective, locally</w:t>
      </w:r>
      <w:r>
        <w:t xml:space="preserve"> </w:t>
      </w:r>
      <w:r>
        <w:t xml:space="preserve">deployable education analytics. Built entirely on open-source technologies (Next.js, Spring Boot,</w:t>
      </w:r>
      <w:r>
        <w:t xml:space="preserve"> </w:t>
      </w:r>
      <w:r>
        <w:t xml:space="preserve">PostgreSQL) and deployable as a single modular monolith on one server, it shows how an institution can</w:t>
      </w:r>
      <w:r>
        <w:t xml:space="preserve"> </w:t>
      </w:r>
      <w:r>
        <w:t xml:space="preserve">centralise records, automate scoring and attendance, and gain early-warning dashboards without</w:t>
      </w:r>
      <w:r>
        <w:t xml:space="preserve"> </w:t>
      </w:r>
      <w:r>
        <w:t xml:space="preserve">expensive commercial subscriptions or black-box algorithms.</w:t>
      </w:r>
    </w:p>
    <w:p>
      <w:pPr>
        <w:pStyle w:val="BodyText"/>
      </w:pPr>
      <w:r>
        <w:rPr>
          <w:b/>
          <w:bCs/>
        </w:rPr>
        <w:t xml:space="preserve">Personally</w:t>
      </w:r>
      <w:r>
        <w:t xml:space="preserve">, the project consolidates the author’s software-engineering competence — requirements</w:t>
      </w:r>
      <w:r>
        <w:t xml:space="preserve"> </w:t>
      </w:r>
      <w:r>
        <w:t xml:space="preserve">analysis, process and architecture modelling, relational database design, secure REST API development</w:t>
      </w:r>
      <w:r>
        <w:t xml:space="preserve"> </w:t>
      </w:r>
      <w:r>
        <w:t xml:space="preserve">and software validation — into a single coherent body of evidence aligned with a future career in</w:t>
      </w:r>
      <w:r>
        <w:t xml:space="preserve"> </w:t>
      </w:r>
      <w:r>
        <w:t xml:space="preserve">systems development.</w:t>
      </w:r>
    </w:p>
    <w:bookmarkEnd w:id="23"/>
    <w:bookmarkStart w:id="24" w:name="scope-and-limitations"/>
    <w:p>
      <w:pPr>
        <w:pStyle w:val="Heading2"/>
      </w:pPr>
      <w:r>
        <w:t xml:space="preserve">1.7 Scope and Limitations</w:t>
      </w:r>
    </w:p>
    <w:p>
      <w:pPr>
        <w:pStyle w:val="FirstParagraph"/>
      </w:pPr>
      <w:r>
        <w:t xml:space="preserve">The study is bounded to a</w:t>
      </w:r>
      <w:r>
        <w:t xml:space="preserve"> </w:t>
      </w:r>
      <w:r>
        <w:rPr>
          <w:b/>
          <w:bCs/>
        </w:rPr>
        <w:t xml:space="preserve">single system, EduMetric</w:t>
      </w:r>
      <w:r>
        <w:t xml:space="preserve">, comprising the Spring Boot backend and the</w:t>
      </w:r>
      <w:r>
        <w:t xml:space="preserve"> </w:t>
      </w:r>
      <w:r>
        <w:t xml:space="preserve">Next.js frontend held in this repository. The system recognises three core roles —</w:t>
      </w:r>
      <w:r>
        <w:t xml:space="preserve"> </w:t>
      </w:r>
      <w:r>
        <w:rPr>
          <w:b/>
          <w:bCs/>
        </w:rPr>
        <w:t xml:space="preserve">Student, Teacher</w:t>
      </w:r>
      <w:r>
        <w:rPr>
          <w:b/>
          <w:bCs/>
        </w:rPr>
        <w:t xml:space="preserve"> </w:t>
      </w:r>
      <w:r>
        <w:rPr>
          <w:b/>
          <w:bCs/>
        </w:rPr>
        <w:t xml:space="preserve">and Admin</w:t>
      </w:r>
      <w:r>
        <w:t xml:space="preserve">; a Parent role exists in the code as a later extension and is noted only where relevant to</w:t>
      </w:r>
      <w:r>
        <w:t xml:space="preserve"> </w:t>
      </w:r>
      <w:r>
        <w:t xml:space="preserve">scope, never as a fourth core role. The investigation is a</w:t>
      </w:r>
      <w:r>
        <w:t xml:space="preserve"> </w:t>
      </w:r>
      <w:r>
        <w:rPr>
          <w:b/>
          <w:bCs/>
        </w:rPr>
        <w:t xml:space="preserve">design-and-build study</w:t>
      </w:r>
      <w:r>
        <w:t xml:space="preserve"> </w:t>
      </w:r>
      <w:r>
        <w:t xml:space="preserve">evaluated through</w:t>
      </w:r>
      <w:r>
        <w:t xml:space="preserve"> </w:t>
      </w:r>
      <w:r>
        <w:t xml:space="preserve">its artefacts: it concentrates on requirements, design, implementation and validation of the six core</w:t>
      </w:r>
      <w:r>
        <w:t xml:space="preserve"> </w:t>
      </w:r>
      <w:r>
        <w:t xml:space="preserve">processes, not on production deployment, large-scale performance testing or live institutional trials.</w:t>
      </w:r>
      <w:r>
        <w:t xml:space="preserve"> </w:t>
      </w:r>
      <w:r>
        <w:t xml:space="preserve">Consequently, evaluation evidence (Chapter 5 and Appendix K) draws on the system’s functional and</w:t>
      </w:r>
      <w:r>
        <w:t xml:space="preserve"> </w:t>
      </w:r>
      <w:r>
        <w:t xml:space="preserve">user-acceptance test suite and on synthetic/anonymised academic data rather than on data collected</w:t>
      </w:r>
      <w:r>
        <w:t xml:space="preserve"> </w:t>
      </w:r>
      <w:r>
        <w:t xml:space="preserve">from human participants, which keeps the project low-risk ethically (§3.7). As a single-system design,</w:t>
      </w:r>
      <w:r>
        <w:t xml:space="preserve"> </w:t>
      </w:r>
      <w:r>
        <w:t xml:space="preserve">the findings prioritise depth and internal traceability over statistical generalisability — a</w:t>
      </w:r>
      <w:r>
        <w:t xml:space="preserve"> </w:t>
      </w:r>
      <w:r>
        <w:t xml:space="preserve">limitation revisited in §5.6.</w:t>
      </w:r>
    </w:p>
    <w:bookmarkEnd w:id="24"/>
    <w:bookmarkStart w:id="25" w:name="structure-of-the-report"/>
    <w:p>
      <w:pPr>
        <w:pStyle w:val="Heading2"/>
      </w:pPr>
      <w:r>
        <w:t xml:space="preserve">1.8 Structure of the Report</w:t>
      </w:r>
    </w:p>
    <w:p>
      <w:pPr>
        <w:pStyle w:val="FirstParagraph"/>
      </w:pPr>
      <w:r>
        <w:t xml:space="preserve">The remainder of this report proceeds as follows.</w:t>
      </w:r>
      <w:r>
        <w:t xml:space="preserve"> </w:t>
      </w:r>
      <w:r>
        <w:rPr>
          <w:b/>
          <w:bCs/>
        </w:rPr>
        <w:t xml:space="preserve">Chapter 2</w:t>
      </w:r>
      <w:r>
        <w:t xml:space="preserve"> </w:t>
      </w:r>
      <w:r>
        <w:t xml:space="preserve">reviews the literature thematically</w:t>
      </w:r>
      <w:r>
        <w:t xml:space="preserve"> </w:t>
      </w:r>
      <w:r>
        <w:t xml:space="preserve">and derives the conceptual framework that positions EduMetric within learning analytics and</w:t>
      </w:r>
      <w:r>
        <w:t xml:space="preserve"> </w:t>
      </w:r>
      <w:r>
        <w:t xml:space="preserve">information-systems design.</w:t>
      </w:r>
      <w:r>
        <w:t xml:space="preserve"> </w:t>
      </w:r>
      <w:r>
        <w:rPr>
          <w:b/>
          <w:bCs/>
        </w:rPr>
        <w:t xml:space="preserve">Chapter 3</w:t>
      </w:r>
      <w:r>
        <w:t xml:space="preserve"> </w:t>
      </w:r>
      <w:r>
        <w:t xml:space="preserve">sets out the research philosophy, the design-science</w:t>
      </w:r>
      <w:r>
        <w:t xml:space="preserve"> </w:t>
      </w:r>
      <w:r>
        <w:t xml:space="preserve">methodology, and the project plan, risk register and ethical considerations.</w:t>
      </w:r>
      <w:r>
        <w:t xml:space="preserve"> </w:t>
      </w:r>
      <w:r>
        <w:rPr>
          <w:b/>
          <w:bCs/>
        </w:rPr>
        <w:t xml:space="preserve">Chapter 4</w:t>
      </w:r>
      <w:r>
        <w:t xml:space="preserve">, the core</w:t>
      </w:r>
      <w:r>
        <w:t xml:space="preserve"> </w:t>
      </w:r>
      <w:r>
        <w:t xml:space="preserve">engineering chapter, specifies the requirements and presents the system’s architecture, data model and</w:t>
      </w:r>
      <w:r>
        <w:t xml:space="preserve"> </w:t>
      </w:r>
      <w:r>
        <w:t xml:space="preserve">six core process models, tracing each forward into modules, entities and API endpoints with supporting</w:t>
      </w:r>
      <w:r>
        <w:t xml:space="preserve"> </w:t>
      </w:r>
      <w:r>
        <w:t xml:space="preserve">test evidence.</w:t>
      </w:r>
      <w:r>
        <w:t xml:space="preserve"> </w:t>
      </w:r>
      <w:r>
        <w:rPr>
          <w:b/>
          <w:bCs/>
        </w:rPr>
        <w:t xml:space="preserve">Chapter 5</w:t>
      </w:r>
      <w:r>
        <w:t xml:space="preserve"> </w:t>
      </w:r>
      <w:r>
        <w:t xml:space="preserve">interprets these findings against the research questions and the</w:t>
      </w:r>
      <w:r>
        <w:t xml:space="preserve"> </w:t>
      </w:r>
      <w:r>
        <w:t xml:space="preserve">literature, and evaluates the project’s effectiveness.</w:t>
      </w:r>
      <w:r>
        <w:t xml:space="preserve"> </w:t>
      </w:r>
      <w:r>
        <w:rPr>
          <w:b/>
          <w:bCs/>
        </w:rPr>
        <w:t xml:space="preserve">Chapter 6</w:t>
      </w:r>
      <w:r>
        <w:t xml:space="preserve"> </w:t>
      </w:r>
      <w:r>
        <w:t xml:space="preserve">draws conclusions and</w:t>
      </w:r>
      <w:r>
        <w:t xml:space="preserve"> </w:t>
      </w:r>
      <w:r>
        <w:t xml:space="preserve">recommendations, and</w:t>
      </w:r>
      <w:r>
        <w:t xml:space="preserve"> </w:t>
      </w:r>
      <w:r>
        <w:rPr>
          <w:b/>
          <w:bCs/>
        </w:rPr>
        <w:t xml:space="preserve">Chapter 7</w:t>
      </w:r>
      <w:r>
        <w:t xml:space="preserve"> </w:t>
      </w:r>
      <w:r>
        <w:t xml:space="preserve">offers a reflective evaluation of the author’s learning. Supporting</w:t>
      </w:r>
      <w:r>
        <w:t xml:space="preserve"> </w:t>
      </w:r>
      <w:r>
        <w:t xml:space="preserve">material — the proposal, full project-management artefacts, ethics documentation, assessment-criteria</w:t>
      </w:r>
      <w:r>
        <w:t xml:space="preserve"> </w:t>
      </w:r>
      <w:r>
        <w:t xml:space="preserve">mapping, UI evidence and testing evidence — is provided in Appendices A–K.</w:t>
      </w:r>
    </w:p>
    <w:bookmarkEnd w:id="25"/>
    <w:bookmarkEnd w:id="26"/>
    <w:bookmarkStart w:id="43" w:name="chapter-2-literature-review"/>
    <w:p>
      <w:pPr>
        <w:pStyle w:val="Heading1"/>
        <w:pageBreakBefore/>
      </w:pPr>
      <w:r>
        <w:t xml:space="preserve">Chapter 2 — Literature Review</w:t>
      </w:r>
    </w:p>
    <w:p>
      <w:pPr>
        <w:pStyle w:val="FirstParagraph"/>
      </w:pPr>
      <w:r>
        <w:rPr>
          <w:i/>
          <w:iCs/>
        </w:rPr>
        <w:t xml:space="preserve">Addresses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LO1 — M1 | D1</w:t>
      </w:r>
    </w:p>
    <w:bookmarkStart w:id="27" w:name="introduction-and-search-strategy"/>
    <w:p>
      <w:pPr>
        <w:pStyle w:val="Heading2"/>
      </w:pPr>
      <w:r>
        <w:t xml:space="preserve">2.1 Introduction and Search Strategy</w:t>
      </w:r>
    </w:p>
    <w:p>
      <w:pPr>
        <w:pStyle w:val="FirstParagraph"/>
      </w:pPr>
      <w:r>
        <w:t xml:space="preserve">This chapter reviews the body of knowledge that positions</w:t>
      </w:r>
      <w:r>
        <w:t xml:space="preserve"> </w:t>
      </w:r>
      <w:r>
        <w:rPr>
          <w:b/>
          <w:bCs/>
        </w:rPr>
        <w:t xml:space="preserve">EduMetric</w:t>
      </w:r>
      <w:r>
        <w:t xml:space="preserve"> </w:t>
      </w:r>
      <w:r>
        <w:t xml:space="preserve">— a web-based,</w:t>
      </w:r>
      <w:r>
        <w:t xml:space="preserve"> </w:t>
      </w:r>
      <w:r>
        <w:t xml:space="preserve">multi-dimensional student performance analytics system — within the fields of learning analytics,</w:t>
      </w:r>
      <w:r>
        <w:t xml:space="preserve"> </w:t>
      </w:r>
      <w:r>
        <w:t xml:space="preserve">educational information systems and software engineering. Its purpose is to establish the theoretical</w:t>
      </w:r>
      <w:r>
        <w:t xml:space="preserve"> </w:t>
      </w:r>
      <w:r>
        <w:t xml:space="preserve">foundation for the design-and-build study reported in the remainder of the dissertation, to evidence</w:t>
      </w:r>
      <w:r>
        <w:t xml:space="preserve"> </w:t>
      </w:r>
      <w:r>
        <w:t xml:space="preserve">the limitations of current student-evaluation practice (RQ1), and to converge on the specific gap that</w:t>
      </w:r>
      <w:r>
        <w:t xml:space="preserve"> </w:t>
      </w:r>
      <w:r>
        <w:t xml:space="preserve">EduMetric is designed to fill. The review is deliberately</w:t>
      </w:r>
      <w:r>
        <w:t xml:space="preserve"> </w:t>
      </w:r>
      <w:r>
        <w:rPr>
          <w:b/>
          <w:bCs/>
        </w:rPr>
        <w:t xml:space="preserve">thematic</w:t>
      </w:r>
      <w:r>
        <w:t xml:space="preserve"> </w:t>
      </w:r>
      <w:r>
        <w:t xml:space="preserve">rather than author-by-author:</w:t>
      </w:r>
      <w:r>
        <w:t xml:space="preserve"> </w:t>
      </w:r>
      <w:r>
        <w:t xml:space="preserve">the literature is organised into six strands that together trace the path from a recognised problem in</w:t>
      </w:r>
      <w:r>
        <w:t xml:space="preserve"> </w:t>
      </w:r>
      <w:r>
        <w:t xml:space="preserve">student evaluation to a transparent, validated software artefact, followed by an industry perspective,</w:t>
      </w:r>
      <w:r>
        <w:t xml:space="preserve"> </w:t>
      </w:r>
      <w:r>
        <w:t xml:space="preserve">a reasoned statement of the gap, and the conceptual framework that the later chapters operationalise.</w:t>
      </w:r>
    </w:p>
    <w:p>
      <w:pPr>
        <w:pStyle w:val="BodyText"/>
      </w:pPr>
      <w:r>
        <w:t xml:space="preserve">Sources were identified through Google Scholar, IEEE Xplore, the ACM Digital Library and</w:t>
      </w:r>
      <w:r>
        <w:t xml:space="preserve"> </w:t>
      </w:r>
      <w:r>
        <w:t xml:space="preserve">ScienceDirect, supplemented by foundational textbooks and the relevant technical standards. Search</w:t>
      </w:r>
      <w:r>
        <w:t xml:space="preserve"> </w:t>
      </w:r>
      <w:r>
        <w:t xml:space="preserve">terms combined</w:t>
      </w:r>
      <w:r>
        <w:t xml:space="preserve"> </w:t>
      </w:r>
      <w:r>
        <w:rPr>
          <w:i/>
          <w:iCs/>
        </w:rPr>
        <w:t xml:space="preserve">learning analytics</w:t>
      </w:r>
      <w:r>
        <w:t xml:space="preserve">,</w:t>
      </w:r>
      <w:r>
        <w:t xml:space="preserve"> </w:t>
      </w:r>
      <w:r>
        <w:rPr>
          <w:i/>
          <w:iCs/>
        </w:rPr>
        <w:t xml:space="preserve">multi-dimensional assessment</w:t>
      </w:r>
      <w:r>
        <w:t xml:space="preserve">,</w:t>
      </w:r>
      <w:r>
        <w:t xml:space="preserve"> </w:t>
      </w:r>
      <w:r>
        <w:rPr>
          <w:i/>
          <w:iCs/>
        </w:rPr>
        <w:t xml:space="preserve">student performance</w:t>
      </w:r>
      <w:r>
        <w:t xml:space="preserve">,</w:t>
      </w:r>
      <w:r>
        <w:t xml:space="preserve"> </w:t>
      </w:r>
      <w:r>
        <w:rPr>
          <w:i/>
          <w:iCs/>
        </w:rPr>
        <w:t xml:space="preserve">early-warning system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educational data mining</w:t>
      </w:r>
      <w:r>
        <w:t xml:space="preserve"> </w:t>
      </w:r>
      <w:r>
        <w:t xml:space="preserve">with software-engineering terms such as</w:t>
      </w:r>
      <w:r>
        <w:t xml:space="preserve"> </w:t>
      </w:r>
      <w:r>
        <w:rPr>
          <w:i/>
          <w:iCs/>
        </w:rPr>
        <w:t xml:space="preserve">web-application architecture</w:t>
      </w:r>
      <w:r>
        <w:t xml:space="preserve">,</w:t>
      </w:r>
      <w:r>
        <w:t xml:space="preserve"> </w:t>
      </w:r>
      <w:r>
        <w:rPr>
          <w:i/>
          <w:iCs/>
        </w:rPr>
        <w:t xml:space="preserve">modular monolith</w:t>
      </w:r>
      <w:r>
        <w:t xml:space="preserve">,</w:t>
      </w:r>
      <w:r>
        <w:t xml:space="preserve"> </w:t>
      </w:r>
      <w:r>
        <w:rPr>
          <w:i/>
          <w:iCs/>
        </w:rPr>
        <w:t xml:space="preserve">REST API</w:t>
      </w:r>
      <w:r>
        <w:t xml:space="preserve">,</w:t>
      </w:r>
      <w:r>
        <w:t xml:space="preserve"> </w:t>
      </w:r>
      <w:r>
        <w:rPr>
          <w:i/>
          <w:iCs/>
        </w:rPr>
        <w:t xml:space="preserve">relational database design</w:t>
      </w:r>
      <w:r>
        <w:t xml:space="preserve">,</w:t>
      </w:r>
      <w:r>
        <w:t xml:space="preserve"> </w:t>
      </w:r>
      <w:r>
        <w:rPr>
          <w:i/>
          <w:iCs/>
        </w:rPr>
        <w:t xml:space="preserve">role-based access control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process modelling</w:t>
      </w:r>
      <w:r>
        <w:t xml:space="preserve">. Inclusion favoured peer-reviewed work, standards</w:t>
      </w:r>
      <w:r>
        <w:t xml:space="preserve"> </w:t>
      </w:r>
      <w:r>
        <w:t xml:space="preserve">documents and authoritative textbooks; where evidence on a transparent, multi-dimensional</w:t>
      </w:r>
      <w:r>
        <w:t xml:space="preserve"> </w:t>
      </w:r>
      <w:r>
        <w:t xml:space="preserve">composite-score model was comparatively thin — a risk recorded in the project’s risk register as</w:t>
      </w:r>
      <w:r>
        <w:t xml:space="preserve"> </w:t>
      </w:r>
      <w:r>
        <w:rPr>
          <w:b/>
          <w:bCs/>
        </w:rPr>
        <w:t xml:space="preserve">R01</w:t>
      </w:r>
      <w:r>
        <w:t xml:space="preserve"> </w:t>
      </w:r>
      <w:r>
        <w:t xml:space="preserve">— the search was broadened into the adjacent literature on educational data mining and</w:t>
      </w:r>
      <w:r>
        <w:t xml:space="preserve"> </w:t>
      </w:r>
      <w:r>
        <w:t xml:space="preserve">information-systems design. The synthesis returns a clear engineering implication at the end of each</w:t>
      </w:r>
      <w:r>
        <w:t xml:space="preserve"> </w:t>
      </w:r>
      <w:r>
        <w:t xml:space="preserve">strand, so that the review functions not as a catalogue of prior work but as the evidential basis for</w:t>
      </w:r>
      <w:r>
        <w:t xml:space="preserve"> </w:t>
      </w:r>
      <w:r>
        <w:t xml:space="preserve">the design decisions made in Chapter 4. Figure 2.1, introduced in §2.6, summarises how these strands</w:t>
      </w:r>
      <w:r>
        <w:t xml:space="preserve"> </w:t>
      </w:r>
      <w:r>
        <w:t xml:space="preserve">combine into the framework that governs the build.</w:t>
      </w:r>
    </w:p>
    <w:bookmarkEnd w:id="27"/>
    <w:bookmarkStart w:id="28" w:name="theoretical-framework"/>
    <w:p>
      <w:pPr>
        <w:pStyle w:val="Heading2"/>
      </w:pPr>
      <w:r>
        <w:t xml:space="preserve">2.2 Theoretical Framework</w:t>
      </w:r>
    </w:p>
    <w:p>
      <w:pPr>
        <w:pStyle w:val="FirstParagraph"/>
      </w:pPr>
      <w:r>
        <w:t xml:space="preserve">The study is framed by an overarching paradigm and two complementary evaluative lenses, summarised in</w:t>
      </w:r>
      <w:r>
        <w:t xml:space="preserve"> </w:t>
      </w:r>
      <w:r>
        <w:t xml:space="preserve">Table 2.1. The overarching frame is</w:t>
      </w:r>
      <w:r>
        <w:t xml:space="preserve"> </w:t>
      </w:r>
      <w:r>
        <w:rPr>
          <w:b/>
          <w:bCs/>
        </w:rPr>
        <w:t xml:space="preserve">design science</w:t>
      </w:r>
      <w:r>
        <w:t xml:space="preserve"> </w:t>
      </w:r>
      <w:r>
        <w:t xml:space="preserve">(Hevner</w:t>
      </w:r>
      <w:r>
        <w:t xml:space="preserve"> </w:t>
      </w:r>
      <w:r>
        <w:rPr>
          <w:i/>
          <w:iCs/>
        </w:rPr>
        <w:t xml:space="preserve">et al.</w:t>
      </w:r>
      <w:r>
        <w:t xml:space="preserve">, 2004; Peffers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2007), which treats the construction and rigorous evaluation of an artefact — here, the EduMetric</w:t>
      </w:r>
      <w:r>
        <w:t xml:space="preserve"> </w:t>
      </w:r>
      <w:r>
        <w:t xml:space="preserve">system and its requirements-to-test traceability chain — as a legitimate mode of inquiry. Design</w:t>
      </w:r>
      <w:r>
        <w:t xml:space="preserve"> </w:t>
      </w:r>
      <w:r>
        <w:t xml:space="preserve">science supplies the evaluation logic this dissertation adopts: an artefact’s contribution is</w:t>
      </w:r>
      <w:r>
        <w:t xml:space="preserve"> </w:t>
      </w:r>
      <w:r>
        <w:t xml:space="preserve">demonstrated by building it to defined requirements and assessing it against the problems it was meant</w:t>
      </w:r>
      <w:r>
        <w:t xml:space="preserve"> </w:t>
      </w:r>
      <w:r>
        <w:t xml:space="preserve">to solve, rather than through human-subject experimentation. Peffers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(2007) decompose this</w:t>
      </w:r>
      <w:r>
        <w:t xml:space="preserve"> </w:t>
      </w:r>
      <w:r>
        <w:t xml:space="preserve">into a repeatable sequence — problem identification, objective definition, design and development,</w:t>
      </w:r>
      <w:r>
        <w:t xml:space="preserve"> </w:t>
      </w:r>
      <w:r>
        <w:t xml:space="preserve">demonstration and evaluation — that maps directly onto the structure of Chapters 1, 4 and 5.</w:t>
      </w:r>
    </w:p>
    <w:p>
      <w:pPr>
        <w:pStyle w:val="BodyText"/>
      </w:pPr>
      <w:r>
        <w:t xml:space="preserve">The two lenses provide criteria for judging whether the built system is</w:t>
      </w:r>
      <w:r>
        <w:t xml:space="preserve"> </w:t>
      </w:r>
      <w:r>
        <w:rPr>
          <w:i/>
          <w:iCs/>
        </w:rPr>
        <w:t xml:space="preserve">good</w:t>
      </w:r>
      <w:r>
        <w:t xml:space="preserve"> </w:t>
      </w:r>
      <w:r>
        <w:t xml:space="preserve">in use, not merely</w:t>
      </w:r>
      <w:r>
        <w:t xml:space="preserve"> </w:t>
      </w:r>
      <w:r>
        <w:rPr>
          <w:i/>
          <w:iCs/>
        </w:rPr>
        <w:t xml:space="preserve">complete</w:t>
      </w:r>
      <w:r>
        <w:t xml:space="preserve">. The first is the</w:t>
      </w:r>
      <w:r>
        <w:t xml:space="preserve"> </w:t>
      </w:r>
      <w:r>
        <w:rPr>
          <w:b/>
          <w:bCs/>
        </w:rPr>
        <w:t xml:space="preserve">Technology Acceptance Model</w:t>
      </w:r>
      <w:r>
        <w:t xml:space="preserve"> </w:t>
      </w:r>
      <w:r>
        <w:t xml:space="preserve">(Davis, 1989), which holds that adoption</w:t>
      </w:r>
      <w:r>
        <w:t xml:space="preserve"> </w:t>
      </w:r>
      <w:r>
        <w:t xml:space="preserve">of an information system is driven principally by its</w:t>
      </w:r>
      <w:r>
        <w:t xml:space="preserve"> </w:t>
      </w:r>
      <w:r>
        <w:rPr>
          <w:i/>
          <w:iCs/>
        </w:rPr>
        <w:t xml:space="preserve">perceived usefulness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perceived ease of</w:t>
      </w:r>
      <w:r>
        <w:rPr>
          <w:i/>
          <w:iCs/>
        </w:rPr>
        <w:t xml:space="preserve"> </w:t>
      </w:r>
      <w:r>
        <w:rPr>
          <w:i/>
          <w:iCs/>
        </w:rPr>
        <w:t xml:space="preserve">use</w:t>
      </w:r>
      <w:r>
        <w:t xml:space="preserve">. For EduMetric this translates into testable design intent: a transparent composite score and a</w:t>
      </w:r>
      <w:r>
        <w:t xml:space="preserve"> </w:t>
      </w:r>
      <w:r>
        <w:t xml:space="preserve">single-screen dashboard are usefulness and ease-of-use features, respectively, that the evaluation in</w:t>
      </w:r>
      <w:r>
        <w:t xml:space="preserve"> </w:t>
      </w:r>
      <w:r>
        <w:t xml:space="preserve">Chapter 5 examines. The second is the</w:t>
      </w:r>
      <w:r>
        <w:t xml:space="preserve"> </w:t>
      </w:r>
      <w:r>
        <w:rPr>
          <w:b/>
          <w:bCs/>
        </w:rPr>
        <w:t xml:space="preserve">DeLone and McLean IS Success Model</w:t>
      </w:r>
      <w:r>
        <w:t xml:space="preserve"> </w:t>
      </w:r>
      <w:r>
        <w:t xml:space="preserve">(DeLone and McLean,</w:t>
      </w:r>
      <w:r>
        <w:t xml:space="preserve"> </w:t>
      </w:r>
      <w:r>
        <w:t xml:space="preserve">2003), which organises success into dimensions of system quality, information quality, use and net</w:t>
      </w:r>
      <w:r>
        <w:t xml:space="preserve"> </w:t>
      </w:r>
      <w:r>
        <w:t xml:space="preserve">benefits. These dimensions inform what the functional and user-acceptance testing in Chapter 5 must</w:t>
      </w:r>
      <w:r>
        <w:t xml:space="preserve"> </w:t>
      </w:r>
      <w:r>
        <w:t xml:space="preserve">demonstrate — that the system functions reliably (system quality), that the composite score and trend</w:t>
      </w:r>
      <w:r>
        <w:t xml:space="preserve"> </w:t>
      </w:r>
      <w:r>
        <w:t xml:space="preserve">are accurate and intelligible (information quality), and that the result is timely at-risk detection</w:t>
      </w:r>
      <w:r>
        <w:t xml:space="preserve"> </w:t>
      </w:r>
      <w:r>
        <w:t xml:space="preserve">(net benefit). Together the three frames justify the central move of the study: designing a system</w:t>
      </w:r>
      <w:r>
        <w:t xml:space="preserve"> </w:t>
      </w:r>
      <w:r>
        <w:t xml:space="preserve">against explicit requirements and evaluating it as an artefact.</w:t>
      </w:r>
    </w:p>
    <w:p>
      <w:pPr>
        <w:pStyle w:val="BodyText"/>
      </w:pPr>
      <w:r>
        <w:rPr>
          <w:b/>
          <w:bCs/>
        </w:rPr>
        <w:t xml:space="preserve">Table 2.1 — Theoretical frameworks and their role in the study.</w:t>
      </w:r>
      <w:r>
        <w:t xml:space="preserve"> </w:t>
      </w:r>
      <w:r>
        <w:rPr>
          <w:i/>
          <w:iCs/>
        </w:rPr>
        <w:t xml:space="preserve">(Source: author.)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Framework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Source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Role in this dissertation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science (overarching paradigm)</w:t>
            </w:r>
          </w:p>
        </w:tc>
        <w:tc>
          <w:tcPr/>
          <w:p>
            <w:pPr>
              <w:pStyle w:val="Compact"/>
            </w:pPr>
            <w:r>
              <w:t xml:space="preserve">Hevner</w:t>
            </w:r>
            <w:r>
              <w:t xml:space="preserve"> </w:t>
            </w:r>
            <w:r>
              <w:rPr>
                <w:i/>
                <w:iCs/>
              </w:rPr>
              <w:t xml:space="preserve">et al.</w:t>
            </w:r>
            <w:r>
              <w:t xml:space="preserve"> </w:t>
            </w:r>
            <w:r>
              <w:t xml:space="preserve">(2004); Peffers</w:t>
            </w:r>
            <w:r>
              <w:t xml:space="preserve"> </w:t>
            </w:r>
            <w:r>
              <w:rPr>
                <w:i/>
                <w:iCs/>
              </w:rPr>
              <w:t xml:space="preserve">et al.</w:t>
            </w:r>
            <w:r>
              <w:t xml:space="preserve"> </w:t>
            </w:r>
            <w:r>
              <w:t xml:space="preserve">(2007)</w:t>
            </w:r>
          </w:p>
        </w:tc>
        <w:tc>
          <w:tcPr/>
          <w:p>
            <w:pPr>
              <w:pStyle w:val="Compact"/>
            </w:pPr>
            <w:r>
              <w:t xml:space="preserve">Justifies build-and-evaluate inquiry; structures problem → objectives → design → demonstration → evaluation.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 Acceptance Model</w:t>
            </w:r>
          </w:p>
        </w:tc>
        <w:tc>
          <w:tcPr/>
          <w:p>
            <w:pPr>
              <w:pStyle w:val="Compact"/>
            </w:pPr>
            <w:r>
              <w:t xml:space="preserve">Davis (1989)</w:t>
            </w:r>
          </w:p>
        </w:tc>
        <w:tc>
          <w:tcPr/>
          <w:p>
            <w:pPr>
              <w:pStyle w:val="Compact"/>
            </w:pPr>
            <w:r>
              <w:t xml:space="preserve">Lens for usefulness and ease of use of the composite score and dashboard.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Success Model</w:t>
            </w:r>
          </w:p>
        </w:tc>
        <w:tc>
          <w:tcPr/>
          <w:p>
            <w:pPr>
              <w:pStyle w:val="Compact"/>
            </w:pPr>
            <w:r>
              <w:t xml:space="preserve">DeLone and McLean (2003)</w:t>
            </w:r>
          </w:p>
        </w:tc>
        <w:tc>
          <w:tcPr/>
          <w:p>
            <w:pPr>
              <w:pStyle w:val="Compact"/>
            </w:pPr>
            <w:r>
              <w:t xml:space="preserve">Lens for system quality, information quality and net benefit in the Chapter 5 evaluation.</w:t>
            </w:r>
          </w:p>
        </w:tc>
      </w:tr>
    </w:tbl>
    <w:bookmarkEnd w:id="28"/>
    <w:bookmarkStart w:id="35" w:name="thematic-review"/>
    <w:p>
      <w:pPr>
        <w:pStyle w:val="Heading2"/>
      </w:pPr>
      <w:r>
        <w:t xml:space="preserve">2.3 Thematic Review</w:t>
      </w:r>
    </w:p>
    <w:bookmarkStart w:id="29" w:name="Xc230f59c15a10d0d145268874aad3d1fb6e431e"/>
    <w:p>
      <w:pPr>
        <w:pStyle w:val="Heading3"/>
      </w:pPr>
      <w:r>
        <w:t xml:space="preserve">2.3.1 Theme 1 — From single-number GPA to multi-dimensional assessment of learning</w:t>
      </w:r>
    </w:p>
    <w:p>
      <w:pPr>
        <w:pStyle w:val="FirstParagraph"/>
      </w:pPr>
      <w:r>
        <w:t xml:space="preserve">A foundational strand argues that reducing a learner’s progress to a single grade-point average</w:t>
      </w:r>
      <w:r>
        <w:t xml:space="preserve"> </w:t>
      </w:r>
      <w:r>
        <w:t xml:space="preserve">obscures the dimensions that matter for support and development. Siemens and Long (2011) frame the</w:t>
      </w:r>
      <w:r>
        <w:t xml:space="preserve"> </w:t>
      </w:r>
      <w:r>
        <w:t xml:space="preserve">shift</w:t>
      </w:r>
      <w:r>
        <w:t xml:space="preserve"> </w:t>
      </w:r>
      <w:r>
        <w:t xml:space="preserve">“from data to insight”</w:t>
      </w:r>
      <w:r>
        <w:t xml:space="preserve"> </w:t>
      </w:r>
      <w:r>
        <w:t xml:space="preserve">as a move beyond recording outcomes towards understanding the learning</w:t>
      </w:r>
      <w:r>
        <w:t xml:space="preserve"> </w:t>
      </w:r>
      <w:r>
        <w:t xml:space="preserve">process, while Ferguson (2012) traces how the field has broadened from final marks to attendance,</w:t>
      </w:r>
      <w:r>
        <w:t xml:space="preserve"> </w:t>
      </w:r>
      <w:r>
        <w:t xml:space="preserve">engagement and behaviour as legitimate signals of learning. The argument is that a single number</w:t>
      </w:r>
      <w:r>
        <w:t xml:space="preserve"> </w:t>
      </w:r>
      <w:r>
        <w:t xml:space="preserve">averages away precisely the variation an educator needs: a student strong in theory but weak in</w:t>
      </w:r>
      <w:r>
        <w:t xml:space="preserve"> </w:t>
      </w:r>
      <w:r>
        <w:t xml:space="preserve">practical work, or one whose attendance is quietly declining, appears unremarkable when collapsed to</w:t>
      </w:r>
      <w:r>
        <w:t xml:space="preserve"> </w:t>
      </w:r>
      <w:r>
        <w:t xml:space="preserve">one figure. The evidence supports a clear engineering conclusion: an evaluation system should retain</w:t>
      </w:r>
      <w:r>
        <w:t xml:space="preserve"> </w:t>
      </w:r>
      <w:r>
        <w:t xml:space="preserve">and surface</w:t>
      </w:r>
      <w:r>
        <w:t xml:space="preserve"> </w:t>
      </w:r>
      <w:r>
        <w:rPr>
          <w:i/>
          <w:iCs/>
        </w:rPr>
        <w:t xml:space="preserve">several</w:t>
      </w:r>
      <w:r>
        <w:t xml:space="preserve"> </w:t>
      </w:r>
      <w:r>
        <w:t xml:space="preserve">weighted dimensions rather than a single scalar — directly motivating EduMetric’s</w:t>
      </w:r>
      <w:r>
        <w:t xml:space="preserve"> </w:t>
      </w:r>
      <w:r>
        <w:t xml:space="preserve">seven scored dimensions (grades, attendance, practical, behaviour, activity, growth bonus and</w:t>
      </w:r>
      <w:r>
        <w:t xml:space="preserve"> </w:t>
      </w:r>
      <w:r>
        <w:t xml:space="preserve">consistency bonus) and the transparent composite score that combines them.</w:t>
      </w:r>
    </w:p>
    <w:bookmarkEnd w:id="29"/>
    <w:bookmarkStart w:id="30" w:name="X6bdd8809fc34559185d4756f8d6d173b7248259"/>
    <w:p>
      <w:pPr>
        <w:pStyle w:val="Heading3"/>
      </w:pPr>
      <w:r>
        <w:t xml:space="preserve">2.3.2 Theme 2 — Learning analytics and educational data</w:t>
      </w:r>
    </w:p>
    <w:p>
      <w:pPr>
        <w:pStyle w:val="FirstParagraph"/>
      </w:pPr>
      <w:r>
        <w:t xml:space="preserve">A second strand concerns the use of academic data to understand and support students. Romero and</w:t>
      </w:r>
      <w:r>
        <w:t xml:space="preserve"> </w:t>
      </w:r>
      <w:r>
        <w:t xml:space="preserve">Ventura (2010) survey educational data mining and establish that institutions already hold rich,</w:t>
      </w:r>
      <w:r>
        <w:t xml:space="preserve"> </w:t>
      </w:r>
      <w:r>
        <w:t xml:space="preserve">under-exploited data on grades, attendance and activity that can be turned into actionable insight.</w:t>
      </w:r>
      <w:r>
        <w:t xml:space="preserve"> </w:t>
      </w:r>
      <w:r>
        <w:t xml:space="preserve">Ferguson (2012) positions learning analytics as the application-oriented sibling of this work, focused</w:t>
      </w:r>
      <w:r>
        <w:t xml:space="preserve"> </w:t>
      </w:r>
      <w:r>
        <w:t xml:space="preserve">on intervention rather than discovery. The literature is not uncritical: both authors caution that</w:t>
      </w:r>
      <w:r>
        <w:t xml:space="preserve"> </w:t>
      </w:r>
      <w:r>
        <w:t xml:space="preserve">analytics is only as trustworthy as the data quality and the integrity of the records feeding it, and</w:t>
      </w:r>
      <w:r>
        <w:t xml:space="preserve"> </w:t>
      </w:r>
      <w:r>
        <w:t xml:space="preserve">that poorly governed data can mislead as easily as inform. The reasoned conclusion taken forward is</w:t>
      </w:r>
      <w:r>
        <w:t xml:space="preserve"> </w:t>
      </w:r>
      <w:r>
        <w:t xml:space="preserve">that an analytics system must treat its underlying records as a first-class concern — enforcing</w:t>
      </w:r>
      <w:r>
        <w:t xml:space="preserve"> </w:t>
      </w:r>
      <w:r>
        <w:t xml:space="preserve">referential integrity, uniqueness and valid ranges at the database level — so that the metrics it</w:t>
      </w:r>
      <w:r>
        <w:t xml:space="preserve"> </w:t>
      </w:r>
      <w:r>
        <w:t xml:space="preserve">computes rest on sound data. This motivates EduMetric’s relational schema with</w:t>
      </w:r>
      <w:r>
        <w:t xml:space="preserve"> </w:t>
      </w:r>
      <w:r>
        <w:rPr>
          <w:rStyle w:val="VerbatimChar"/>
        </w:rPr>
        <w:t xml:space="preserve">ON DELETE RESTRICT</w:t>
      </w:r>
      <w:r>
        <w:t xml:space="preserve"> </w:t>
      </w:r>
      <w:r>
        <w:t xml:space="preserve">foreign keys, uniqueness constraints on attendance and grade records, and the separation of the</w:t>
      </w:r>
      <w:r>
        <w:t xml:space="preserve"> </w:t>
      </w:r>
      <w:r>
        <w:t xml:space="preserve">denormalised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 </w:t>
      </w:r>
      <w:r>
        <w:t xml:space="preserve">cache from the immutable history in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.</w:t>
      </w:r>
    </w:p>
    <w:bookmarkEnd w:id="30"/>
    <w:bookmarkStart w:id="31" w:name="X3a175296bce49277f409183d92d9460f59c3948"/>
    <w:p>
      <w:pPr>
        <w:pStyle w:val="Heading3"/>
      </w:pPr>
      <w:r>
        <w:t xml:space="preserve">2.3.3 Theme 3 — Early-warning / at-risk detection systems</w:t>
      </w:r>
    </w:p>
    <w:p>
      <w:pPr>
        <w:pStyle w:val="FirstParagraph"/>
      </w:pPr>
      <w:r>
        <w:t xml:space="preserve">The third strand examines systems that flag at-risk students early enough for intervention to help.</w:t>
      </w:r>
      <w:r>
        <w:t xml:space="preserve"> </w:t>
      </w:r>
      <w:r>
        <w:t xml:space="preserve">Arnold and Pistilli’s (2012) account of Course Signals at Purdue is the canonical example: an</w:t>
      </w:r>
      <w:r>
        <w:t xml:space="preserve"> </w:t>
      </w:r>
      <w:r>
        <w:t xml:space="preserve">early-warning system that combines performance, effort and prior academic history into a traffic-light</w:t>
      </w:r>
      <w:r>
        <w:t xml:space="preserve"> </w:t>
      </w:r>
      <w:r>
        <w:t xml:space="preserve">signal correlated with improved outcomes. Macfadyen and Dawson (2010) demonstrate, as a proof of</w:t>
      </w:r>
      <w:r>
        <w:t xml:space="preserve"> </w:t>
      </w:r>
      <w:r>
        <w:t xml:space="preserve">concept, that data already captured by a learning-management system can be mined to predict which</w:t>
      </w:r>
      <w:r>
        <w:t xml:space="preserve"> </w:t>
      </w:r>
      <w:r>
        <w:t xml:space="preserve">students are likely to fail, well before final results. Both works establish the central premise that</w:t>
      </w:r>
      <w:r>
        <w:t xml:space="preserve"> </w:t>
      </w:r>
      <w:r>
        <w:rPr>
          <w:i/>
          <w:iCs/>
        </w:rPr>
        <w:t xml:space="preserve">continuous, multi-factor monitoring</w:t>
      </w:r>
      <w:r>
        <w:t xml:space="preserve"> </w:t>
      </w:r>
      <w:r>
        <w:t xml:space="preserve">detects decline that a single end-of-term GPA reveals only too</w:t>
      </w:r>
      <w:r>
        <w:t xml:space="preserve"> </w:t>
      </w:r>
      <w:r>
        <w:t xml:space="preserve">late. The literature also notes a recurring limitation — many such systems are bolted onto an LMS as</w:t>
      </w:r>
      <w:r>
        <w:t xml:space="preserve"> </w:t>
      </w:r>
      <w:r>
        <w:t xml:space="preserve">analytics afterthoughts, with detection logic that institutions cannot inspect or adjust. The</w:t>
      </w:r>
      <w:r>
        <w:t xml:space="preserve"> </w:t>
      </w:r>
      <w:r>
        <w:t xml:space="preserve">engineering conclusion is that at-risk detection should be a designed, rule-driven module with</w:t>
      </w:r>
      <w:r>
        <w:t xml:space="preserve"> </w:t>
      </w:r>
      <w:r>
        <w:t xml:space="preserve">configurable thresholds, which EduMetric implements through its</w:t>
      </w:r>
      <w:r>
        <w:t xml:space="preserve"> </w:t>
      </w:r>
      <w:r>
        <w:rPr>
          <w:rStyle w:val="VerbatimChar"/>
        </w:rPr>
        <w:t xml:space="preserve">atrisk/</w:t>
      </w:r>
      <w:r>
        <w:t xml:space="preserve"> </w:t>
      </w:r>
      <w:r>
        <w:t xml:space="preserve">slice (</w:t>
      </w:r>
      <w:r>
        <w:rPr>
          <w:rStyle w:val="VerbatimChar"/>
        </w:rPr>
        <w:t xml:space="preserve">AtRiskRules</w:t>
      </w:r>
      <w:r>
        <w:t xml:space="preserve">) feeding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 rather than an opaque add-on.</w:t>
      </w:r>
    </w:p>
    <w:bookmarkEnd w:id="31"/>
    <w:bookmarkStart w:id="32" w:name="Xf8154fd991a17ad9e4217b3ae9631c2f90a06ba"/>
    <w:p>
      <w:pPr>
        <w:pStyle w:val="Heading3"/>
      </w:pPr>
      <w:r>
        <w:t xml:space="preserve">2.3.4 Theme 4 — Transparency versus black-box prediction</w:t>
      </w:r>
    </w:p>
    <w:p>
      <w:pPr>
        <w:pStyle w:val="FirstParagraph"/>
      </w:pPr>
      <w:r>
        <w:t xml:space="preserve">The fourth strand weighs configurable, auditable scoring against opaque machine-learning prediction,</w:t>
      </w:r>
      <w:r>
        <w:t xml:space="preserve"> </w:t>
      </w:r>
      <w:r>
        <w:t xml:space="preserve">and is the principal source of the project’s distinctive position. Slade and Prinsloo (2013) argue</w:t>
      </w:r>
      <w:r>
        <w:t xml:space="preserve"> </w:t>
      </w:r>
      <w:r>
        <w:t xml:space="preserve">that learning analytics carries genuine ethical weight: decisions taken about students on the basis of</w:t>
      </w:r>
      <w:r>
        <w:t xml:space="preserve"> </w:t>
      </w:r>
      <w:r>
        <w:t xml:space="preserve">an algorithm engage their right to understand and contest those decisions, which a black-box predictor</w:t>
      </w:r>
      <w:r>
        <w:t xml:space="preserve"> </w:t>
      </w:r>
      <w:r>
        <w:t xml:space="preserve">cannot satisfy. Where much educational data mining pursues predictive accuracy through models that are</w:t>
      </w:r>
      <w:r>
        <w:t xml:space="preserve"> </w:t>
      </w:r>
      <w:r>
        <w:t xml:space="preserve">inherently difficult to explain (Romero and Ventura, 2010), this strand counters that</w:t>
      </w:r>
      <w:r>
        <w:t xml:space="preserve"> </w:t>
      </w:r>
      <w:r>
        <w:rPr>
          <w:i/>
          <w:iCs/>
        </w:rPr>
        <w:t xml:space="preserve">explicability</w:t>
      </w:r>
      <w:r>
        <w:t xml:space="preserve"> </w:t>
      </w:r>
      <w:r>
        <w:t xml:space="preserve">is itself a requirement when the subject of the decision is a person’s academic standing. The reasoned</w:t>
      </w:r>
      <w:r>
        <w:t xml:space="preserve"> </w:t>
      </w:r>
      <w:r>
        <w:t xml:space="preserve">position adopted here is that, for a student-facing institution, a transparent and configurable formula</w:t>
      </w:r>
      <w:r>
        <w:t xml:space="preserve"> </w:t>
      </w:r>
      <w:r>
        <w:t xml:space="preserve">whose weights are visible and adjustable is preferable to a more accurate but unaccountable model. This</w:t>
      </w:r>
      <w:r>
        <w:t xml:space="preserve"> </w:t>
      </w:r>
      <w:r>
        <w:t xml:space="preserve">directly justifies EduMetric’s deliberate rejection of ML scoring in favour of a linear composite</w:t>
      </w:r>
      <w:r>
        <w:t xml:space="preserve"> </w:t>
      </w:r>
      <w:r>
        <w:t xml:space="preserve">formula with administrator-editable weights held in</w:t>
      </w:r>
      <w:r>
        <w:t xml:space="preserve"> </w:t>
      </w:r>
      <w:r>
        <w:rPr>
          <w:rStyle w:val="VerbatimChar"/>
        </w:rPr>
        <w:t xml:space="preserve">formula_config</w:t>
      </w:r>
      <w:r>
        <w:t xml:space="preserve">, every recomputation of which is</w:t>
      </w:r>
      <w:r>
        <w:t xml:space="preserve"> </w:t>
      </w:r>
      <w:r>
        <w:t xml:space="preserve">written to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</w:t>
      </w:r>
    </w:p>
    <w:bookmarkEnd w:id="32"/>
    <w:bookmarkStart w:id="33" w:name="X255ec8b6dc93416913857aa01ffc320d80d5149"/>
    <w:p>
      <w:pPr>
        <w:pStyle w:val="Heading3"/>
      </w:pPr>
      <w:r>
        <w:t xml:space="preserve">2.3.5 Theme 5 — Architecture of educational web information systems</w:t>
      </w:r>
    </w:p>
    <w:p>
      <w:pPr>
        <w:pStyle w:val="FirstParagraph"/>
      </w:pPr>
      <w:r>
        <w:t xml:space="preserve">The fifth strand establishes how a web information system of this kind should be structured, and it is</w:t>
      </w:r>
      <w:r>
        <w:t xml:space="preserve"> </w:t>
      </w:r>
      <w:r>
        <w:t xml:space="preserve">here that process modelling enters as one design technique among several. The software-architecture</w:t>
      </w:r>
      <w:r>
        <w:t xml:space="preserve"> </w:t>
      </w:r>
      <w:r>
        <w:t xml:space="preserve">literature describes the trade-offs between architectural styles: Bass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(2012) and Richards and</w:t>
      </w:r>
      <w:r>
        <w:t xml:space="preserve"> </w:t>
      </w:r>
      <w:r>
        <w:t xml:space="preserve">Ford (2020) set out how quality attributes such as maintainability and deployability drive style</w:t>
      </w:r>
      <w:r>
        <w:t xml:space="preserve"> </w:t>
      </w:r>
      <w:r>
        <w:t xml:space="preserve">selection, while Newman (2015), writing in favour of microservices, makes the contrasting case that</w:t>
      </w:r>
      <w:r>
        <w:t xml:space="preserve"> </w:t>
      </w:r>
      <w:r>
        <w:t xml:space="preserve">clarifies why a single-team, single-deployment project is better served by a</w:t>
      </w:r>
      <w:r>
        <w:t xml:space="preserve"> </w:t>
      </w:r>
      <w:r>
        <w:rPr>
          <w:b/>
          <w:bCs/>
        </w:rPr>
        <w:t xml:space="preserve">modular monolith</w:t>
      </w:r>
      <w:r>
        <w:t xml:space="preserve">.</w:t>
      </w:r>
      <w:r>
        <w:t xml:space="preserve"> </w:t>
      </w:r>
      <w:r>
        <w:t xml:space="preserve">Fowler (2002) supplies the enterprise patterns — layered separation of controller, service, repository</w:t>
      </w:r>
      <w:r>
        <w:t xml:space="preserve"> </w:t>
      </w:r>
      <w:r>
        <w:t xml:space="preserve">and entity — that EduMetric’s vertical slices follow, and Fielding’s (2000) account of REST, elaborated</w:t>
      </w:r>
      <w:r>
        <w:t xml:space="preserve"> </w:t>
      </w:r>
      <w:r>
        <w:t xml:space="preserve">for practitioners by Richardson and Amundsen (2013) and made machine-readable by the OpenAPI</w:t>
      </w:r>
      <w:r>
        <w:t xml:space="preserve"> </w:t>
      </w:r>
      <w:r>
        <w:t xml:space="preserve">Initiative (2021), frames the API as a set of resources and state transitions. Within this strand,</w:t>
      </w:r>
      <w:r>
        <w:t xml:space="preserve"> </w:t>
      </w:r>
      <w:r>
        <w:rPr>
          <w:b/>
          <w:bCs/>
        </w:rPr>
        <w:t xml:space="preserve">requirements engineering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process modelling</w:t>
      </w:r>
      <w:r>
        <w:t xml:space="preserve"> </w:t>
      </w:r>
      <w:r>
        <w:t xml:space="preserve">are the techniques that bridge problem to</w:t>
      </w:r>
      <w:r>
        <w:t xml:space="preserve"> </w:t>
      </w:r>
      <w:r>
        <w:t xml:space="preserve">design: Sommerville (2016), Pohl (2010) and Wiegers and Beatty (2013) characterise requirements as the</w:t>
      </w:r>
      <w:r>
        <w:t xml:space="preserve"> </w:t>
      </w:r>
      <w:r>
        <w:t xml:space="preserve">highest-leverage, most error-prone phase, where visual representations expose gaps that prose conceals;</w:t>
      </w:r>
      <w:r>
        <w:t xml:space="preserve"> </w:t>
      </w:r>
      <w:r>
        <w:t xml:space="preserve">and Dumas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(2018), with the BPMN 2.0 standard (OMG, 2011), supply the notation chosen to model</w:t>
      </w:r>
      <w:r>
        <w:t xml:space="preserve"> </w:t>
      </w:r>
      <w:r>
        <w:t xml:space="preserve">EduMetric’s six core processes so that exceptions and authorisation rules are made explicit before</w:t>
      </w:r>
      <w:r>
        <w:t xml:space="preserve"> </w:t>
      </w:r>
      <w:r>
        <w:t xml:space="preserve">they reach code. The engineering conclusion is that EduMetric should adopt a three-tier modular</w:t>
      </w:r>
      <w:r>
        <w:t xml:space="preserve"> </w:t>
      </w:r>
      <w:r>
        <w:t xml:space="preserve">monolith with layered slices and a REST API, designed through requirements analysis and process models</w:t>
      </w:r>
      <w:r>
        <w:t xml:space="preserve"> </w:t>
      </w:r>
      <w:r>
        <w:t xml:space="preserve">rather than improvised — exactly the method Chapter 4 follows.</w:t>
      </w:r>
    </w:p>
    <w:bookmarkEnd w:id="33"/>
    <w:bookmarkStart w:id="34" w:name="X23758f88e3262cb71988638dc44037b93a163c8"/>
    <w:p>
      <w:pPr>
        <w:pStyle w:val="Heading3"/>
      </w:pPr>
      <w:r>
        <w:t xml:space="preserve">2.3.6 Theme 6 — Security, privacy and access control for student data</w:t>
      </w:r>
    </w:p>
    <w:p>
      <w:pPr>
        <w:pStyle w:val="FirstParagraph"/>
      </w:pPr>
      <w:r>
        <w:t xml:space="preserve">The final strand addresses the protection of sensitive academic records (RQ4). Sandhu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(1996)</w:t>
      </w:r>
      <w:r>
        <w:t xml:space="preserve"> </w:t>
      </w:r>
      <w:r>
        <w:t xml:space="preserve">provide the foundational model of role-based access control (RBAC), in which permissions attach to</w:t>
      </w:r>
      <w:r>
        <w:t xml:space="preserve"> </w:t>
      </w:r>
      <w:r>
        <w:t xml:space="preserve">roles rather than individuals, reducing both administrative burden and the attack surface. The</w:t>
      </w:r>
      <w:r>
        <w:t xml:space="preserve"> </w:t>
      </w:r>
      <w:r>
        <w:t xml:space="preserve">argument from this work is that a multi-role system handling personal data must enforce authorisation</w:t>
      </w:r>
      <w:r>
        <w:t xml:space="preserve"> </w:t>
      </w:r>
      <w:r>
        <w:t xml:space="preserve">systematically rather than ad hoc. The data-protection literature reinforces this: the General Data</w:t>
      </w:r>
      <w:r>
        <w:t xml:space="preserve"> </w:t>
      </w:r>
      <w:r>
        <w:t xml:space="preserve">Protection Regulation (European Parliament and Council, 2016) establishes principles of data</w:t>
      </w:r>
      <w:r>
        <w:t xml:space="preserve"> </w:t>
      </w:r>
      <w:r>
        <w:t xml:space="preserve">minimisation, purpose limitation and accountability that any system holding student records should</w:t>
      </w:r>
      <w:r>
        <w:t xml:space="preserve"> </w:t>
      </w:r>
      <w:r>
        <w:t xml:space="preserve">honour even outside its legal jurisdiction, as a matter of good practice. A recognised difficulty,</w:t>
      </w:r>
      <w:r>
        <w:t xml:space="preserve"> </w:t>
      </w:r>
      <w:r>
        <w:t xml:space="preserve">noted across the security literature, is that role-level checks alone are insufficient in a multi-tenant</w:t>
      </w:r>
      <w:r>
        <w:t xml:space="preserve"> </w:t>
      </w:r>
      <w:r>
        <w:t xml:space="preserve">educational setting — a teacher must see only their own groups, a student only their own record — which</w:t>
      </w:r>
      <w:r>
        <w:t xml:space="preserve"> </w:t>
      </w:r>
      <w:r>
        <w:t xml:space="preserve">demands data-level authorisation in addition to coarse role gates. The engineering conclusion is that</w:t>
      </w:r>
      <w:r>
        <w:t xml:space="preserve"> </w:t>
      </w:r>
      <w:r>
        <w:t xml:space="preserve">EduMetric must combine an</w:t>
      </w:r>
      <w:r>
        <w:t xml:space="preserve"> </w:t>
      </w:r>
      <w:r>
        <w:rPr>
          <w:rStyle w:val="VerbatimChar"/>
        </w:rPr>
        <w:t xml:space="preserve">ADMIN &gt; TEACHER &gt; STUDENT</w:t>
      </w:r>
      <w:r>
        <w:t xml:space="preserve"> </w:t>
      </w:r>
      <w:r>
        <w:t xml:space="preserve">role hierarchy and JWT-based stateless</w:t>
      </w:r>
      <w:r>
        <w:t xml:space="preserve"> </w:t>
      </w:r>
      <w:r>
        <w:t xml:space="preserve">authentication with service-layer query filters that scope data to the authenticated user, supported by</w:t>
      </w:r>
      <w:r>
        <w:t xml:space="preserve"> </w:t>
      </w:r>
      <w:r>
        <w:t xml:space="preserve">an immutable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for accountability.</w:t>
      </w:r>
    </w:p>
    <w:bookmarkEnd w:id="34"/>
    <w:bookmarkEnd w:id="35"/>
    <w:bookmarkStart w:id="36" w:name="industry-practice-review"/>
    <w:p>
      <w:pPr>
        <w:pStyle w:val="Heading2"/>
      </w:pPr>
      <w:r>
        <w:t xml:space="preserve">2.4 Industry / Practice Review</w:t>
      </w:r>
    </w:p>
    <w:p>
      <w:pPr>
        <w:pStyle w:val="FirstParagraph"/>
      </w:pPr>
      <w:r>
        <w:t xml:space="preserve">Beyond the academic literature, the practice of building educational systems offers a complementary</w:t>
      </w:r>
      <w:r>
        <w:t xml:space="preserve"> </w:t>
      </w:r>
      <w:r>
        <w:t xml:space="preserve">perspective. Commercial student-information systems (SIS) and learning-management systems dominate the</w:t>
      </w:r>
      <w:r>
        <w:t xml:space="preserve"> </w:t>
      </w:r>
      <w:r>
        <w:t xml:space="preserve">institutional market, and their gradebooks are mature and widely adopted; in practice, however, their</w:t>
      </w:r>
      <w:r>
        <w:t xml:space="preserve"> </w:t>
      </w:r>
      <w:r>
        <w:t xml:space="preserve">analytics typically report a single aggregate mark and present scoring as a fixed, vendor-defined</w:t>
      </w:r>
      <w:r>
        <w:t xml:space="preserve"> </w:t>
      </w:r>
      <w:r>
        <w:t xml:space="preserve">process that institutions cannot inspect or reconfigure. Industry experience reported in the</w:t>
      </w:r>
      <w:r>
        <w:t xml:space="preserve"> </w:t>
      </w:r>
      <w:r>
        <w:t xml:space="preserve">architecture literature (Richards and Ford, 2020; Bass</w:t>
      </w:r>
      <w:r>
        <w:t xml:space="preserve"> </w:t>
      </w:r>
      <w:r>
        <w:rPr>
          <w:i/>
          <w:iCs/>
        </w:rPr>
        <w:t xml:space="preserve">et al.</w:t>
      </w:r>
      <w:r>
        <w:t xml:space="preserve">, 2012) converges on a pragmatic</w:t>
      </w:r>
      <w:r>
        <w:t xml:space="preserve"> </w:t>
      </w:r>
      <w:r>
        <w:t xml:space="preserve">finding relevant to a single-team project of this size: most systems do not need the operational</w:t>
      </w:r>
      <w:r>
        <w:t xml:space="preserve"> </w:t>
      </w:r>
      <w:r>
        <w:t xml:space="preserve">complexity of microservices (Newman, 2015), and a well-modularised monolith deployed as one unit</w:t>
      </w:r>
      <w:r>
        <w:t xml:space="preserve"> </w:t>
      </w:r>
      <w:r>
        <w:t xml:space="preserve">delivers maintainability without distributed-systems overhead. EduMetric’s choice of a single</w:t>
      </w:r>
      <w:r>
        <w:t xml:space="preserve"> </w:t>
      </w:r>
      <w:r>
        <w:rPr>
          <w:rStyle w:val="VerbatimChar"/>
        </w:rPr>
        <w:t xml:space="preserve">docker-compose</w:t>
      </w:r>
      <w:r>
        <w:t xml:space="preserve"> </w:t>
      </w:r>
      <w:r>
        <w:t xml:space="preserve">deployment on one server, with Redis used only as a read-through cache for analytics</w:t>
      </w:r>
      <w:r>
        <w:t xml:space="preserve"> </w:t>
      </w:r>
      <w:r>
        <w:t xml:space="preserve">dashboards and never in the recompute path, reflects this lesson directly.</w:t>
      </w:r>
    </w:p>
    <w:p>
      <w:pPr>
        <w:pStyle w:val="BodyText"/>
      </w:pPr>
      <w:r>
        <w:t xml:space="preserve">A second practitioner theme concerns the</w:t>
      </w:r>
      <w:r>
        <w:t xml:space="preserve"> </w:t>
      </w:r>
      <w:r>
        <w:rPr>
          <w:i/>
          <w:iCs/>
        </w:rPr>
        <w:t xml:space="preserve">level of formality</w:t>
      </w:r>
      <w:r>
        <w:t xml:space="preserve"> </w:t>
      </w:r>
      <w:r>
        <w:t xml:space="preserve">appropriate to design artefacts in a</w:t>
      </w:r>
      <w:r>
        <w:t xml:space="preserve"> </w:t>
      </w:r>
      <w:r>
        <w:t xml:space="preserve">project of this scale. The agile tradition (Beck</w:t>
      </w:r>
      <w:r>
        <w:t xml:space="preserve"> </w:t>
      </w:r>
      <w:r>
        <w:rPr>
          <w:i/>
          <w:iCs/>
        </w:rPr>
        <w:t xml:space="preserve">et al.</w:t>
      </w:r>
      <w:r>
        <w:t xml:space="preserve">, 2001) cautions against documentation that</w:t>
      </w:r>
      <w:r>
        <w:t xml:space="preserve"> </w:t>
      </w:r>
      <w:r>
        <w:t xml:space="preserve">drifts from the code, and the maintenance literature identifies model–code divergence as a chronic</w:t>
      </w:r>
      <w:r>
        <w:t xml:space="preserve"> </w:t>
      </w:r>
      <w:r>
        <w:t xml:space="preserve">risk — recorded here as</w:t>
      </w:r>
      <w:r>
        <w:t xml:space="preserve"> </w:t>
      </w:r>
      <w:r>
        <w:rPr>
          <w:b/>
          <w:bCs/>
        </w:rPr>
        <w:t xml:space="preserve">R03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R07</w:t>
      </w:r>
      <w:r>
        <w:t xml:space="preserve">. The practical lesson is that design artefacts such as</w:t>
      </w:r>
      <w:r>
        <w:t xml:space="preserve"> </w:t>
      </w:r>
      <w:r>
        <w:t xml:space="preserve">process models, the ERD and the API specification earn their keep only when they are tied to the</w:t>
      </w:r>
      <w:r>
        <w:t xml:space="preserve"> </w:t>
      </w:r>
      <w:r>
        <w:t xml:space="preserve">implementation through an explicit, version-controlled traceability matrix and kept deliberately lean,</w:t>
      </w:r>
      <w:r>
        <w:t xml:space="preserve"> </w:t>
      </w:r>
      <w:r>
        <w:t xml:space="preserve">rather than treated as exhaustive documentation. EduMetric adopts exactly this discipline, modelling</w:t>
      </w:r>
      <w:r>
        <w:t xml:space="preserve"> </w:t>
      </w:r>
      <w:r>
        <w:t xml:space="preserve">its six processes at a descriptive level sufficient to derive design decisions, and binding each back</w:t>
      </w:r>
      <w:r>
        <w:t xml:space="preserve"> </w:t>
      </w:r>
      <w:r>
        <w:t xml:space="preserve">to a requirement, module, entity, endpoint and test through the traceability matrices reproduced in</w:t>
      </w:r>
      <w:r>
        <w:t xml:space="preserve"> </w:t>
      </w:r>
      <w:r>
        <w:t xml:space="preserve">Chapter 4.</w:t>
      </w:r>
    </w:p>
    <w:bookmarkEnd w:id="36"/>
    <w:bookmarkStart w:id="37" w:name="identification-of-the-gap"/>
    <w:p>
      <w:pPr>
        <w:pStyle w:val="Heading2"/>
      </w:pPr>
      <w:r>
        <w:t xml:space="preserve">2.5 Identification of the Gap</w:t>
      </w:r>
    </w:p>
    <w:p>
      <w:pPr>
        <w:pStyle w:val="FirstParagraph"/>
      </w:pPr>
      <w:r>
        <w:t xml:space="preserve">Synthesising the six themes against the available alternatives makes the gap, and the distinction</w:t>
      </w:r>
      <w:r>
        <w:t xml:space="preserve"> </w:t>
      </w:r>
      <w:r>
        <w:t xml:space="preserve">EduMetric claims, explicit.</w:t>
      </w:r>
      <w:r>
        <w:t xml:space="preserve"> </w:t>
      </w:r>
      <w:r>
        <w:rPr>
          <w:b/>
          <w:bCs/>
        </w:rPr>
        <w:t xml:space="preserve">Single-number GPA</w:t>
      </w:r>
      <w:r>
        <w:t xml:space="preserve"> </w:t>
      </w:r>
      <w:r>
        <w:t xml:space="preserve">(Theme 1) is transparent and universally understood,</w:t>
      </w:r>
      <w:r>
        <w:t xml:space="preserve"> </w:t>
      </w:r>
      <w:r>
        <w:t xml:space="preserve">but discards the multi-dimensional detail and trajectory that early support requires.</w:t>
      </w:r>
      <w:r>
        <w:t xml:space="preserve"> </w:t>
      </w:r>
      <w:r>
        <w:rPr>
          <w:b/>
          <w:bCs/>
        </w:rPr>
        <w:t xml:space="preserve">Generic LMS</w:t>
      </w:r>
      <w:r>
        <w:rPr>
          <w:b/>
          <w:bCs/>
        </w:rPr>
        <w:t xml:space="preserve"> </w:t>
      </w:r>
      <w:r>
        <w:rPr>
          <w:b/>
          <w:bCs/>
        </w:rPr>
        <w:t xml:space="preserve">gradebooks</w:t>
      </w:r>
      <w:r>
        <w:t xml:space="preserve"> </w:t>
      </w:r>
      <w:r>
        <w:t xml:space="preserve">are mature and widely deployed, but typically expose only an aggregate mark, treat scoring</w:t>
      </w:r>
      <w:r>
        <w:t xml:space="preserve"> </w:t>
      </w:r>
      <w:r>
        <w:t xml:space="preserve">as a fixed process, and bolt analytics on as an afterthought rather than designing detection in from</w:t>
      </w:r>
      <w:r>
        <w:t xml:space="preserve"> </w:t>
      </w:r>
      <w:r>
        <w:t xml:space="preserve">the data model upward.</w:t>
      </w:r>
      <w:r>
        <w:t xml:space="preserve"> </w:t>
      </w:r>
      <w:r>
        <w:rPr>
          <w:b/>
          <w:bCs/>
        </w:rPr>
        <w:t xml:space="preserve">Commercial student-information systems</w:t>
      </w:r>
      <w:r>
        <w:t xml:space="preserve"> </w:t>
      </w:r>
      <w:r>
        <w:t xml:space="preserve">centralise records effectively but</w:t>
      </w:r>
      <w:r>
        <w:t xml:space="preserve"> </w:t>
      </w:r>
      <w:r>
        <w:t xml:space="preserve">are costly, closed and difficult to adapt to an institution’s own weighting of practical work,</w:t>
      </w:r>
      <w:r>
        <w:t xml:space="preserve"> </w:t>
      </w:r>
      <w:r>
        <w:t xml:space="preserve">behaviour or growth — and rarely deployable cheaply by a small institution.</w:t>
      </w:r>
      <w:r>
        <w:t xml:space="preserve"> </w:t>
      </w:r>
      <w:r>
        <w:rPr>
          <w:b/>
          <w:bCs/>
        </w:rPr>
        <w:t xml:space="preserve">Black-box ML scoring</w:t>
      </w:r>
      <w:r>
        <w:t xml:space="preserve"> </w:t>
      </w:r>
      <w:r>
        <w:t xml:space="preserve">(Themes 3–4) can achieve predictive accuracy, but at the cost of explicability and accountability,</w:t>
      </w:r>
      <w:r>
        <w:t xml:space="preserve"> </w:t>
      </w:r>
      <w:r>
        <w:t xml:space="preserve">which the ethics literature identifies as non-negotiable when the subject of the decision is a</w:t>
      </w:r>
      <w:r>
        <w:t xml:space="preserve"> </w:t>
      </w:r>
      <w:r>
        <w:t xml:space="preserve">student’s standing (Slade and Prinsloo, 2013). Each alternative therefore captures part of what is</w:t>
      </w:r>
      <w:r>
        <w:t xml:space="preserve"> </w:t>
      </w:r>
      <w:r>
        <w:t xml:space="preserve">needed, and none combines all of it.</w:t>
      </w:r>
    </w:p>
    <w:p>
      <w:pPr>
        <w:pStyle w:val="BodyText"/>
      </w:pPr>
      <w:r>
        <w:t xml:space="preserve">What is comparatively under-evidenced is a system that is simultaneously</w:t>
      </w:r>
      <w:r>
        <w:t xml:space="preserve"> </w:t>
      </w:r>
      <w:r>
        <w:rPr>
          <w:b/>
          <w:bCs/>
        </w:rPr>
        <w:t xml:space="preserve">multi-dimensional</w:t>
      </w:r>
      <w:r>
        <w:t xml:space="preserve"> </w:t>
      </w:r>
      <w:r>
        <w:t xml:space="preserve">(retaining several weighted signals),</w:t>
      </w:r>
      <w:r>
        <w:t xml:space="preserve"> </w:t>
      </w:r>
      <w:r>
        <w:rPr>
          <w:b/>
          <w:bCs/>
        </w:rPr>
        <w:t xml:space="preserve">transparent and configurable</w:t>
      </w:r>
      <w:r>
        <w:t xml:space="preserve"> </w:t>
      </w:r>
      <w:r>
        <w:t xml:space="preserve">(an auditable formula whose</w:t>
      </w:r>
      <w:r>
        <w:t xml:space="preserve"> </w:t>
      </w:r>
      <w:r>
        <w:t xml:space="preserve">weights an administrator can see and adjust),</w:t>
      </w:r>
      <w:r>
        <w:t xml:space="preserve"> </w:t>
      </w:r>
      <w:r>
        <w:rPr>
          <w:b/>
          <w:bCs/>
        </w:rPr>
        <w:t xml:space="preserve">proactive</w:t>
      </w:r>
      <w:r>
        <w:t xml:space="preserve"> </w:t>
      </w:r>
      <w:r>
        <w:t xml:space="preserve">(rule-driven at-risk detection built into</w:t>
      </w:r>
      <w:r>
        <w:t xml:space="preserve"> </w:t>
      </w:r>
      <w:r>
        <w:t xml:space="preserve">the data model),</w:t>
      </w:r>
      <w:r>
        <w:t xml:space="preserve"> </w:t>
      </w:r>
      <w:r>
        <w:rPr>
          <w:b/>
          <w:bCs/>
        </w:rPr>
        <w:t xml:space="preserve">secure</w:t>
      </w:r>
      <w:r>
        <w:t xml:space="preserve"> </w:t>
      </w:r>
      <w:r>
        <w:t xml:space="preserve">(RBAC plus data-level scoping) and</w:t>
      </w:r>
      <w:r>
        <w:t xml:space="preserve"> </w:t>
      </w:r>
      <w:r>
        <w:rPr>
          <w:b/>
          <w:bCs/>
        </w:rPr>
        <w:t xml:space="preserve">cheaply deployable</w:t>
      </w:r>
      <w:r>
        <w:t xml:space="preserve"> </w:t>
      </w:r>
      <w:r>
        <w:t xml:space="preserve">(an open-source</w:t>
      </w:r>
      <w:r>
        <w:t xml:space="preserve"> </w:t>
      </w:r>
      <w:r>
        <w:t xml:space="preserve">modular monolith) — demonstrated end-to-end with requirements-to-test traceability in one</w:t>
      </w:r>
      <w:r>
        <w:t xml:space="preserve"> </w:t>
      </w:r>
      <w:r>
        <w:t xml:space="preserve">implemented system. This dissertation addresses that gap by designing, building and evaluating exactly</w:t>
      </w:r>
      <w:r>
        <w:t xml:space="preserve"> </w:t>
      </w:r>
      <w:r>
        <w:t xml:space="preserve">such a system. The composite-score formula’s transparency answers the black-box critique; the</w:t>
      </w:r>
      <w:r>
        <w:t xml:space="preserve"> </w:t>
      </w:r>
      <w:r>
        <w:t xml:space="preserve">multi-dimensional model answers the GPA critique; the rule-driven</w:t>
      </w:r>
      <w:r>
        <w:t xml:space="preserve"> </w:t>
      </w:r>
      <w:r>
        <w:rPr>
          <w:rStyle w:val="VerbatimChar"/>
        </w:rPr>
        <w:t xml:space="preserve">atrisk/</w:t>
      </w:r>
      <w:r>
        <w:t xml:space="preserve"> </w:t>
      </w:r>
      <w:r>
        <w:t xml:space="preserve">module answers the</w:t>
      </w:r>
      <w:r>
        <w:t xml:space="preserve"> </w:t>
      </w:r>
      <w:r>
        <w:t xml:space="preserve">afterthought critique of LMS gradebooks; and the open-source monolith answers the cost-and-closure</w:t>
      </w:r>
      <w:r>
        <w:t xml:space="preserve"> </w:t>
      </w:r>
      <w:r>
        <w:t xml:space="preserve">critique of commercial SIS. The conceptual framework that operationalises this convergence is given in</w:t>
      </w:r>
      <w:r>
        <w:t xml:space="preserve"> </w:t>
      </w:r>
      <w:r>
        <w:t xml:space="preserve">Figure 2.1.</w:t>
      </w:r>
    </w:p>
    <w:bookmarkEnd w:id="37"/>
    <w:bookmarkStart w:id="41" w:name="conceptual-framework"/>
    <w:p>
      <w:pPr>
        <w:pStyle w:val="Heading2"/>
      </w:pPr>
      <w:r>
        <w:t xml:space="preserve">2.6 Conceptual Framework</w:t>
      </w:r>
    </w:p>
    <w:p>
      <w:pPr>
        <w:pStyle w:val="FirstParagraph"/>
      </w:pPr>
      <w:r>
        <w:t xml:space="preserve">The synthesis above yields the conceptual framework that the methodology and analysis operationalise.</w:t>
      </w:r>
      <w:r>
        <w:t xml:space="preserve"> </w:t>
      </w:r>
      <w:r>
        <w:t xml:space="preserve">The framework reads the project as a chain of design activities: the recognised</w:t>
      </w:r>
      <w:r>
        <w:t xml:space="preserve"> </w:t>
      </w:r>
      <w:r>
        <w:rPr>
          <w:i/>
          <w:iCs/>
        </w:rPr>
        <w:t xml:space="preserve">process intent</w:t>
      </w:r>
      <w:r>
        <w:t xml:space="preserve"> </w:t>
      </w:r>
      <w:r>
        <w:t xml:space="preserve">behind</w:t>
      </w:r>
      <w:r>
        <w:t xml:space="preserve"> </w:t>
      </w:r>
      <w:r>
        <w:t xml:space="preserve">the six core institutional processes is captured first as a</w:t>
      </w:r>
      <w:r>
        <w:t xml:space="preserve"> </w:t>
      </w:r>
      <w:r>
        <w:rPr>
          <w:b/>
          <w:bCs/>
        </w:rPr>
        <w:t xml:space="preserve">process model</w:t>
      </w:r>
      <w:r>
        <w:t xml:space="preserve"> </w:t>
      </w:r>
      <w:r>
        <w:t xml:space="preserve">(drawn in BPMN 2.0,</w:t>
      </w:r>
      <w:r>
        <w:t xml:space="preserve"> </w:t>
      </w:r>
      <w:r>
        <w:t xml:space="preserve">alongside the other design techniques of Theme 5), which informs the</w:t>
      </w:r>
      <w:r>
        <w:t xml:space="preserve"> </w:t>
      </w:r>
      <w:r>
        <w:rPr>
          <w:b/>
          <w:bCs/>
        </w:rPr>
        <w:t xml:space="preserve">requirements</w:t>
      </w:r>
      <w:r>
        <w:t xml:space="preserve">; the requirements</w:t>
      </w:r>
      <w:r>
        <w:t xml:space="preserve"> </w:t>
      </w:r>
      <w:r>
        <w:t xml:space="preserve">drive the</w:t>
      </w:r>
      <w:r>
        <w:t xml:space="preserve"> </w:t>
      </w:r>
      <w:r>
        <w:rPr>
          <w:b/>
          <w:bCs/>
        </w:rPr>
        <w:t xml:space="preserve">architecture</w:t>
      </w:r>
      <w:r>
        <w:t xml:space="preserve">, the</w:t>
      </w:r>
      <w:r>
        <w:t xml:space="preserve"> </w:t>
      </w:r>
      <w:r>
        <w:rPr>
          <w:b/>
          <w:bCs/>
        </w:rPr>
        <w:t xml:space="preserve">database design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API design</w:t>
      </w:r>
      <w:r>
        <w:t xml:space="preserve">; these converge in the</w:t>
      </w:r>
      <w:r>
        <w:t xml:space="preserve"> </w:t>
      </w:r>
      <w:r>
        <w:rPr>
          <w:b/>
          <w:bCs/>
        </w:rPr>
        <w:t xml:space="preserve">implemented system</w:t>
      </w:r>
      <w:r>
        <w:t xml:space="preserve"> </w:t>
      </w:r>
      <w:r>
        <w:t xml:space="preserve">(EduMetric); and the whole is confirmed by</w:t>
      </w:r>
      <w:r>
        <w:t xml:space="preserve"> </w:t>
      </w:r>
      <w:r>
        <w:rPr>
          <w:b/>
          <w:bCs/>
        </w:rPr>
        <w:t xml:space="preserve">validation</w:t>
      </w:r>
      <w:r>
        <w:t xml:space="preserve"> </w:t>
      </w:r>
      <w:r>
        <w:t xml:space="preserve">through the</w:t>
      </w:r>
      <w:r>
        <w:t xml:space="preserve"> </w:t>
      </w:r>
      <w:r>
        <w:t xml:space="preserve">traceability chain and test evidence, which traces back to verify that what was intended was in fact</w:t>
      </w:r>
      <w:r>
        <w:t xml:space="preserve"> </w:t>
      </w:r>
      <w:r>
        <w:t xml:space="preserve">built. Process modelling is one technique within this method, not its centre. The framework is shown in</w:t>
      </w:r>
      <w:r>
        <w:t xml:space="preserve"> </w:t>
      </w:r>
      <w:r>
        <w:t xml:space="preserve">Figure 2.1.</w:t>
      </w:r>
    </w:p>
    <w:p>
      <w:pPr>
        <w:pStyle w:val="BodyText"/>
        <w:jc w:val="center"/>
      </w:pPr>
      <w:r>
        <w:drawing>
          <wp:inline>
            <wp:extent cx="5334000" cy="53340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_assets/figure-2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2.1 — Conceptual framework: from process intent to a validated student-analytics system.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author.)</w:t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2.1 — Conceptual framework: from process intent to a validated student-analytics system.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author, synthesised from the literature in §2.3.)</w:t>
      </w:r>
    </w:p>
    <w:bookmarkEnd w:id="41"/>
    <w:bookmarkStart w:id="42" w:name="summary-of-the-literature-review"/>
    <w:p>
      <w:pPr>
        <w:pStyle w:val="Heading2"/>
      </w:pPr>
      <w:r>
        <w:t xml:space="preserve">2.7 Summary of the Literature Review</w:t>
      </w:r>
    </w:p>
    <w:p>
      <w:pPr>
        <w:pStyle w:val="FirstParagraph"/>
      </w:pPr>
      <w:r>
        <w:t xml:space="preserve">The literature converges on the rationale for this project. Theme 1 establishes that a single GPA</w:t>
      </w:r>
      <w:r>
        <w:t xml:space="preserve"> </w:t>
      </w:r>
      <w:r>
        <w:t xml:space="preserve">hides the growth and multi-dimensional variation educators need, motivating EduMetric’s weighted</w:t>
      </w:r>
      <w:r>
        <w:t xml:space="preserve"> </w:t>
      </w:r>
      <w:r>
        <w:t xml:space="preserve">composite score. Themes 2 and 3 show that institutions already hold the data, and that continuous,</w:t>
      </w:r>
      <w:r>
        <w:t xml:space="preserve"> </w:t>
      </w:r>
      <w:r>
        <w:t xml:space="preserve">multi-factor monitoring can detect at-risk students early enough to help. Theme 4 supplies the</w:t>
      </w:r>
      <w:r>
        <w:t xml:space="preserve"> </w:t>
      </w:r>
      <w:r>
        <w:t xml:space="preserve">project’s distinctive ethical position — that transparent, configurable scoring is preferable to</w:t>
      </w:r>
      <w:r>
        <w:t xml:space="preserve"> </w:t>
      </w:r>
      <w:r>
        <w:t xml:space="preserve">accurate-but-opaque prediction when decisions affect students. Theme 5 grounds the system’s</w:t>
      </w:r>
      <w:r>
        <w:t xml:space="preserve"> </w:t>
      </w:r>
      <w:r>
        <w:t xml:space="preserve">engineering in established architecture, REST and requirements-and-process-modelling practice, with</w:t>
      </w:r>
      <w:r>
        <w:t xml:space="preserve"> </w:t>
      </w:r>
      <w:r>
        <w:t xml:space="preserve">BPMN as one design technique rather than the subject of study; and Theme 6 sets the security and</w:t>
      </w:r>
      <w:r>
        <w:t xml:space="preserve"> </w:t>
      </w:r>
      <w:r>
        <w:t xml:space="preserve">data-protection requirements for handling sensitive student records. The three theoretical frames of</w:t>
      </w:r>
      <w:r>
        <w:t xml:space="preserve"> </w:t>
      </w:r>
      <w:r>
        <w:t xml:space="preserve">§2.2 — design science as the overarching paradigm, with the Technology Acceptance Model and the IS</w:t>
      </w:r>
      <w:r>
        <w:t xml:space="preserve"> </w:t>
      </w:r>
      <w:r>
        <w:t xml:space="preserve">Success Model as evaluative lenses — provide the logic by which the built artefact is judged. The</w:t>
      </w:r>
      <w:r>
        <w:t xml:space="preserve"> </w:t>
      </w:r>
      <w:r>
        <w:t xml:space="preserve">identified gap is the absence of a single implemented system that is at once multi-dimensional,</w:t>
      </w:r>
      <w:r>
        <w:t xml:space="preserve"> </w:t>
      </w:r>
      <w:r>
        <w:t xml:space="preserve">transparent, proactive, secure and cheaply deployable, demonstrated with full traceability; the</w:t>
      </w:r>
      <w:r>
        <w:t xml:space="preserve"> </w:t>
      </w:r>
      <w:r>
        <w:t xml:space="preserve">conceptual framework of Figure 2.1 specifies the structure that Chapters 3 and 4 use to fill it.</w:t>
      </w:r>
    </w:p>
    <w:bookmarkEnd w:id="42"/>
    <w:bookmarkEnd w:id="43"/>
    <w:bookmarkStart w:id="66" w:name="Xc02286bb2f5a6af828f8889127638e5df3d77db"/>
    <w:p>
      <w:pPr>
        <w:pStyle w:val="Heading1"/>
        <w:pageBreakBefore/>
      </w:pPr>
      <w:r>
        <w:t xml:space="preserve">Chapter 3 — Project Planning and Methodology</w:t>
      </w:r>
    </w:p>
    <w:p>
      <w:pPr>
        <w:pStyle w:val="FirstParagraph"/>
      </w:pPr>
      <w:r>
        <w:rPr>
          <w:i/>
          <w:iCs/>
        </w:rPr>
        <w:t xml:space="preserve">Addresses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LO2 — P3, P4 | M2 | D2</w:t>
      </w:r>
    </w:p>
    <w:bookmarkStart w:id="44" w:name="research-philosophy-and-approach"/>
    <w:p>
      <w:pPr>
        <w:pStyle w:val="Heading2"/>
      </w:pPr>
      <w:r>
        <w:t xml:space="preserve">3.1 Research Philosophy and Approach</w:t>
      </w:r>
    </w:p>
    <w:p>
      <w:pPr>
        <w:pStyle w:val="FirstParagraph"/>
      </w:pPr>
      <w:r>
        <w:t xml:space="preserve">This project adopts a</w:t>
      </w:r>
      <w:r>
        <w:t xml:space="preserve"> </w:t>
      </w:r>
      <w:r>
        <w:rPr>
          <w:b/>
          <w:bCs/>
        </w:rPr>
        <w:t xml:space="preserve">pragmatist</w:t>
      </w:r>
      <w:r>
        <w:t xml:space="preserve"> </w:t>
      </w:r>
      <w:r>
        <w:t xml:space="preserve">research philosophy, the position within Saunders, Lewis and</w:t>
      </w:r>
      <w:r>
        <w:t xml:space="preserve"> </w:t>
      </w:r>
      <w:r>
        <w:t xml:space="preserve">Thornhill’s (2019)</w:t>
      </w:r>
      <w:r>
        <w:t xml:space="preserve"> </w:t>
      </w:r>
      <w:r>
        <w:t xml:space="preserve">“research onion”</w:t>
      </w:r>
      <w:r>
        <w:t xml:space="preserve"> </w:t>
      </w:r>
      <w:r>
        <w:t xml:space="preserve">that judges knowledge claims by their usefulness in solving a</w:t>
      </w:r>
      <w:r>
        <w:t xml:space="preserve"> </w:t>
      </w:r>
      <w:r>
        <w:t xml:space="preserve">practical problem rather than by allegiance to a single epistemology. Pragmatism is appropriate here</w:t>
      </w:r>
      <w:r>
        <w:t xml:space="preserve"> </w:t>
      </w:r>
      <w:r>
        <w:t xml:space="preserve">because the central concern — whether a web-based, multi-dimensional analytics system can improve the</w:t>
      </w:r>
      <w:r>
        <w:t xml:space="preserve"> </w:t>
      </w:r>
      <w:r>
        <w:t xml:space="preserve">transparency, accuracy and accessibility of student evaluation — is answered most convincingly by</w:t>
      </w:r>
      <w:r>
        <w:t xml:space="preserve"> </w:t>
      </w:r>
      <w:r>
        <w:rPr>
          <w:i/>
          <w:iCs/>
        </w:rPr>
        <w:t xml:space="preserve">designing, building and examining</w:t>
      </w:r>
      <w:r>
        <w:t xml:space="preserve"> </w:t>
      </w:r>
      <w:r>
        <w:t xml:space="preserve">such a system in working software, not by abstract argument alone.</w:t>
      </w:r>
      <w:r>
        <w:t xml:space="preserve"> </w:t>
      </w:r>
      <w:r>
        <w:t xml:space="preserve">The philosophy is operationalised through</w:t>
      </w:r>
      <w:r>
        <w:t xml:space="preserve"> </w:t>
      </w:r>
      <w:r>
        <w:rPr>
          <w:b/>
          <w:bCs/>
        </w:rPr>
        <w:t xml:space="preserve">design science</w:t>
      </w:r>
      <w:r>
        <w:t xml:space="preserve"> </w:t>
      </w:r>
      <w:r>
        <w:t xml:space="preserve">(Hevner</w:t>
      </w:r>
      <w:r>
        <w:t xml:space="preserve"> </w:t>
      </w:r>
      <w:r>
        <w:rPr>
          <w:i/>
          <w:iCs/>
        </w:rPr>
        <w:t xml:space="preserve">et al.</w:t>
      </w:r>
      <w:r>
        <w:t xml:space="preserve">, 2004; Peffers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2007), in which a purposeful</w:t>
      </w:r>
      <w:r>
        <w:t xml:space="preserve"> </w:t>
      </w:r>
      <w:r>
        <w:rPr>
          <w:b/>
          <w:bCs/>
        </w:rPr>
        <w:t xml:space="preserve">artefact</w:t>
      </w:r>
      <w:r>
        <w:t xml:space="preserve"> </w:t>
      </w:r>
      <w:r>
        <w:t xml:space="preserve">— the EduMetric system together with its design models,</w:t>
      </w:r>
      <w:r>
        <w:t xml:space="preserve"> </w:t>
      </w:r>
      <w:r>
        <w:t xml:space="preserve">data schema, REST API and test evidence — is both the means and the object of inquiry, and its</w:t>
      </w:r>
      <w:r>
        <w:t xml:space="preserve"> </w:t>
      </w:r>
      <w:r>
        <w:t xml:space="preserve">evaluation against the requirements it was built to satisfy constitutes the research finding.</w:t>
      </w:r>
    </w:p>
    <w:p>
      <w:pPr>
        <w:pStyle w:val="BodyText"/>
      </w:pPr>
      <w:r>
        <w:t xml:space="preserve">Design science is well matched to a software-engineering capstone because it frames research as the</w:t>
      </w:r>
      <w:r>
        <w:t xml:space="preserve"> </w:t>
      </w:r>
      <w:r>
        <w:t xml:space="preserve">construction and rigorous assessment of an artefact that solves a relevant problem (Hevner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2004). Peffers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(2007) structure that activity into six iterative steps — problem</w:t>
      </w:r>
      <w:r>
        <w:t xml:space="preserve"> </w:t>
      </w:r>
      <w:r>
        <w:t xml:space="preserve">identification, objective definition, design and development, demonstration, evaluation, and</w:t>
      </w:r>
      <w:r>
        <w:t xml:space="preserve"> </w:t>
      </w:r>
      <w:r>
        <w:t xml:space="preserve">communication — and this dissertation maps onto them directly: the problem and objectives are</w:t>
      </w:r>
      <w:r>
        <w:t xml:space="preserve"> </w:t>
      </w:r>
      <w:r>
        <w:t xml:space="preserve">established in Chapter 1, the artefact is designed and developed in Chapter 4, it is demonstrated</w:t>
      </w:r>
      <w:r>
        <w:t xml:space="preserve"> </w:t>
      </w:r>
      <w:r>
        <w:t xml:space="preserve">through its implemented interface (Appendix J), evaluated in Chapter 5, and communicated through the</w:t>
      </w:r>
      <w:r>
        <w:t xml:space="preserve"> </w:t>
      </w:r>
      <w:r>
        <w:t xml:space="preserve">report as a whole. The reasoning is</w:t>
      </w:r>
      <w:r>
        <w:t xml:space="preserve"> </w:t>
      </w:r>
      <w:r>
        <w:rPr>
          <w:b/>
          <w:bCs/>
        </w:rPr>
        <w:t xml:space="preserve">abductive</w:t>
      </w:r>
      <w:r>
        <w:t xml:space="preserve">: properties observed in the built system are</w:t>
      </w:r>
      <w:r>
        <w:t xml:space="preserve"> </w:t>
      </w:r>
      <w:r>
        <w:t xml:space="preserve">explained by, and traced back to, the requirements and design models that informed them, so that the</w:t>
      </w:r>
      <w:r>
        <w:t xml:space="preserve"> </w:t>
      </w:r>
      <w:r>
        <w:t xml:space="preserve">relationship between intent, design and implementation is made explicit rather than assumed.</w:t>
      </w:r>
    </w:p>
    <w:bookmarkEnd w:id="44"/>
    <w:bookmarkStart w:id="45" w:name="methodological-choice"/>
    <w:p>
      <w:pPr>
        <w:pStyle w:val="Heading2"/>
      </w:pPr>
      <w:r>
        <w:t xml:space="preserve">3.2 Methodological Choice</w:t>
      </w:r>
    </w:p>
    <w:p>
      <w:pPr>
        <w:pStyle w:val="FirstParagraph"/>
      </w:pPr>
      <w:r>
        <w:t xml:space="preserve">The methodological choice is</w:t>
      </w:r>
      <w:r>
        <w:t xml:space="preserve"> </w:t>
      </w:r>
      <w:r>
        <w:rPr>
          <w:b/>
          <w:bCs/>
        </w:rPr>
        <w:t xml:space="preserve">qualitative and artefact-driven</w:t>
      </w:r>
      <w:r>
        <w:t xml:space="preserve"> </w:t>
      </w:r>
      <w:r>
        <w:t xml:space="preserve">— a design-and-build study rather</w:t>
      </w:r>
      <w:r>
        <w:t xml:space="preserve"> </w:t>
      </w:r>
      <w:r>
        <w:t xml:space="preserve">than a survey-heavy empirical investigation. Instead of collecting numerical data from a sample of</w:t>
      </w:r>
      <w:r>
        <w:t xml:space="preserve"> </w:t>
      </w:r>
      <w:r>
        <w:t xml:space="preserve">respondents, the project treats software artefacts — the requirements specification, the architecture</w:t>
      </w:r>
      <w:r>
        <w:t xml:space="preserve"> </w:t>
      </w:r>
      <w:r>
        <w:t xml:space="preserve">and process models, the database schema, the REST API definition and the functional and</w:t>
      </w:r>
      <w:r>
        <w:t xml:space="preserve"> </w:t>
      </w:r>
      <w:r>
        <w:t xml:space="preserve">user-acceptance test cases — as its primary evidence, and analyses them through structured</w:t>
      </w:r>
      <w:r>
        <w:t xml:space="preserve"> </w:t>
      </w:r>
      <w:r>
        <w:rPr>
          <w:b/>
          <w:bCs/>
        </w:rPr>
        <w:t xml:space="preserve">requirements-to-test traceability</w:t>
      </w:r>
      <w:r>
        <w:t xml:space="preserve"> </w:t>
      </w:r>
      <w:r>
        <w:t xml:space="preserve">(§4.2). Crucially,</w:t>
      </w:r>
      <w:r>
        <w:t xml:space="preserve"> </w:t>
      </w:r>
      <w:r>
        <w:rPr>
          <w:b/>
          <w:bCs/>
        </w:rPr>
        <w:t xml:space="preserve">no data are collected from human</w:t>
      </w:r>
      <w:r>
        <w:rPr>
          <w:b/>
          <w:bCs/>
        </w:rPr>
        <w:t xml:space="preserve"> </w:t>
      </w:r>
      <w:r>
        <w:rPr>
          <w:b/>
          <w:bCs/>
        </w:rPr>
        <w:t xml:space="preserve">subjects</w:t>
      </w:r>
      <w:r>
        <w:t xml:space="preserve">: the study involves no surveys, interviews, observation or usability counts, and the</w:t>
      </w:r>
      <w:r>
        <w:t xml:space="preserve"> </w:t>
      </w:r>
      <w:r>
        <w:t xml:space="preserve">academic data used to demonstrate the analytics are synthetic and anonymised (§3.7).</w:t>
      </w:r>
    </w:p>
    <w:p>
      <w:pPr>
        <w:pStyle w:val="BodyText"/>
      </w:pPr>
      <w:r>
        <w:t xml:space="preserve">This choice is justified over a survey-heavy or experimental design on three grounds, and the trade-off</w:t>
      </w:r>
      <w:r>
        <w:t xml:space="preserve"> </w:t>
      </w:r>
      <w:r>
        <w:t xml:space="preserve">is accepted explicitly (Oates, 2006; Bell and Waters, 2018). First, the research questions concern</w:t>
      </w:r>
      <w:r>
        <w:t xml:space="preserve"> </w:t>
      </w:r>
      <w:r>
        <w:rPr>
          <w:i/>
          <w:iCs/>
        </w:rPr>
        <w:t xml:space="preserve">what should be built and how well it works</w:t>
      </w:r>
      <w:r>
        <w:t xml:space="preserve"> </w:t>
      </w:r>
      <w:r>
        <w:t xml:space="preserve">— the functional modules, the data model, and the</w:t>
      </w:r>
      <w:r>
        <w:t xml:space="preserve"> </w:t>
      </w:r>
      <w:r>
        <w:t xml:space="preserve">system’s effect on transparency, accuracy and access — which are best answered by inspecting and</w:t>
      </w:r>
      <w:r>
        <w:t xml:space="preserve"> </w:t>
      </w:r>
      <w:r>
        <w:t xml:space="preserve">testing the artefact directly rather than by sampling opinion. Second, a survey of user perception</w:t>
      </w:r>
      <w:r>
        <w:t xml:space="preserve"> </w:t>
      </w:r>
      <w:r>
        <w:t xml:space="preserve">would measure</w:t>
      </w:r>
      <w:r>
        <w:t xml:space="preserve"> </w:t>
      </w:r>
      <w:r>
        <w:rPr>
          <w:i/>
          <w:iCs/>
        </w:rPr>
        <w:t xml:space="preserve">attitudes</w:t>
      </w:r>
      <w:r>
        <w:t xml:space="preserve"> </w:t>
      </w:r>
      <w:r>
        <w:t xml:space="preserve">towards a system that does not yet widely exist, whereas the locked aim</w:t>
      </w:r>
      <w:r>
        <w:t xml:space="preserve"> </w:t>
      </w:r>
      <w:r>
        <w:t xml:space="preserve">demands a</w:t>
      </w:r>
      <w:r>
        <w:t xml:space="preserve"> </w:t>
      </w:r>
      <w:r>
        <w:rPr>
          <w:i/>
          <w:iCs/>
        </w:rPr>
        <w:t xml:space="preserve">demonstrated</w:t>
      </w:r>
      <w:r>
        <w:t xml:space="preserve"> </w:t>
      </w:r>
      <w:r>
        <w:t xml:space="preserve">working system and verifiable behaviour; design science treats the</w:t>
      </w:r>
      <w:r>
        <w:t xml:space="preserve"> </w:t>
      </w:r>
      <w:r>
        <w:t xml:space="preserve">artefact’s tested performance as the evidence (Hevner</w:t>
      </w:r>
      <w:r>
        <w:t xml:space="preserve"> </w:t>
      </w:r>
      <w:r>
        <w:rPr>
          <w:i/>
          <w:iCs/>
        </w:rPr>
        <w:t xml:space="preserve">et al.</w:t>
      </w:r>
      <w:r>
        <w:t xml:space="preserve">, 2004). Third, confining evaluation to</w:t>
      </w:r>
      <w:r>
        <w:t xml:space="preserve"> </w:t>
      </w:r>
      <w:r>
        <w:t xml:space="preserve">synthetic data and functional/UAT testing keeps the project low-risk ethically and within the time and</w:t>
      </w:r>
      <w:r>
        <w:t xml:space="preserve"> </w:t>
      </w:r>
      <w:r>
        <w:t xml:space="preserve">resources of a single researcher (§3.5, §3.7). The accepted cost — reduced statistical</w:t>
      </w:r>
      <w:r>
        <w:t xml:space="preserve"> </w:t>
      </w:r>
      <w:r>
        <w:t xml:space="preserve">generalisability in exchange for depth, internal validity and a fully traceable engineering record —</w:t>
      </w:r>
      <w:r>
        <w:t xml:space="preserve"> </w:t>
      </w:r>
      <w:r>
        <w:t xml:space="preserve">is revisited critically in §5.6. Within this artefact-driven frame, process modelling in</w:t>
      </w:r>
      <w:r>
        <w:t xml:space="preserve"> </w:t>
      </w:r>
      <w:r>
        <w:rPr>
          <w:b/>
          <w:bCs/>
        </w:rPr>
        <w:t xml:space="preserve">BPMN 2.0</w:t>
      </w:r>
      <w:r>
        <w:t xml:space="preserve"> </w:t>
      </w:r>
      <w:r>
        <w:t xml:space="preserve">(Object Management Group, 2011) is used as one design technique among several — alongside C4</w:t>
      </w:r>
      <w:r>
        <w:t xml:space="preserve"> </w:t>
      </w:r>
      <w:r>
        <w:t xml:space="preserve">architecture diagrams, an entity-relationship diagram, UML sequence diagrams and an OpenAPI-style REST</w:t>
      </w:r>
      <w:r>
        <w:t xml:space="preserve"> </w:t>
      </w:r>
      <w:r>
        <w:t xml:space="preserve">specification — to capture the six core processes; it is a means of designing the system, not the</w:t>
      </w:r>
      <w:r>
        <w:t xml:space="preserve"> </w:t>
      </w:r>
      <w:r>
        <w:t xml:space="preserve">object of study.</w:t>
      </w:r>
    </w:p>
    <w:bookmarkEnd w:id="45"/>
    <w:bookmarkStart w:id="46" w:name="project-management-methodology"/>
    <w:p>
      <w:pPr>
        <w:pStyle w:val="Heading2"/>
      </w:pPr>
      <w:r>
        <w:t xml:space="preserve">3.3 Project Management Methodology</w:t>
      </w:r>
    </w:p>
    <w:p>
      <w:pPr>
        <w:pStyle w:val="FirstParagraph"/>
      </w:pPr>
      <w:r>
        <w:t xml:space="preserve">The project was managed using an</w:t>
      </w:r>
      <w:r>
        <w:t xml:space="preserve"> </w:t>
      </w:r>
      <w:r>
        <w:rPr>
          <w:b/>
          <w:bCs/>
        </w:rPr>
        <w:t xml:space="preserve">Agile, iterative</w:t>
      </w:r>
      <w:r>
        <w:t xml:space="preserve"> </w:t>
      </w:r>
      <w:r>
        <w:t xml:space="preserve">approach (Beck</w:t>
      </w:r>
      <w:r>
        <w:t xml:space="preserve"> </w:t>
      </w:r>
      <w:r>
        <w:rPr>
          <w:i/>
          <w:iCs/>
        </w:rPr>
        <w:t xml:space="preserve">et al.</w:t>
      </w:r>
      <w:r>
        <w:t xml:space="preserve">, 2001) adapted for a</w:t>
      </w:r>
      <w:r>
        <w:t xml:space="preserve"> </w:t>
      </w:r>
      <w:r>
        <w:t xml:space="preserve">single-researcher software-engineering capstone. Rather than deferring all output to the end, work</w:t>
      </w:r>
      <w:r>
        <w:t xml:space="preserve"> </w:t>
      </w:r>
      <w:r>
        <w:t xml:space="preserve">proceeded in short cycles aligned to the six core processes and the chapter structure, each cycle</w:t>
      </w:r>
      <w:r>
        <w:t xml:space="preserve"> </w:t>
      </w:r>
      <w:r>
        <w:t xml:space="preserve">producing a reviewable increment — a requirement set, a design model, a working module, a populated</w:t>
      </w:r>
      <w:r>
        <w:t xml:space="preserve"> </w:t>
      </w:r>
      <w:r>
        <w:t xml:space="preserve">traceability table or a chapter draft. The Agile values of</w:t>
      </w:r>
      <w:r>
        <w:t xml:space="preserve"> </w:t>
      </w:r>
      <w:r>
        <w:rPr>
          <w:i/>
          <w:iCs/>
        </w:rPr>
        <w:t xml:space="preserve">working software</w:t>
      </w:r>
      <w:r>
        <w:t xml:space="preserve">,</w:t>
      </w:r>
      <w:r>
        <w:t xml:space="preserve"> </w:t>
      </w:r>
      <w:r>
        <w:rPr>
          <w:i/>
          <w:iCs/>
        </w:rPr>
        <w:t xml:space="preserve">responding to change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iterative delivery</w:t>
      </w:r>
      <w:r>
        <w:t xml:space="preserve"> </w:t>
      </w:r>
      <w:r>
        <w:t xml:space="preserve">(Beck</w:t>
      </w:r>
      <w:r>
        <w:t xml:space="preserve"> </w:t>
      </w:r>
      <w:r>
        <w:rPr>
          <w:i/>
          <w:iCs/>
        </w:rPr>
        <w:t xml:space="preserve">et al.</w:t>
      </w:r>
      <w:r>
        <w:t xml:space="preserve">, 2001) fit this project because its artefacts are</w:t>
      </w:r>
      <w:r>
        <w:t xml:space="preserve"> </w:t>
      </w:r>
      <w:r>
        <w:t xml:space="preserve">interdependent: designing a process model frequently surfaced a refinement to the architecture or</w:t>
      </w:r>
      <w:r>
        <w:t xml:space="preserve"> </w:t>
      </w:r>
      <w:r>
        <w:t xml:space="preserve">schema, and implementing a module occasionally revealed a requirement that needed restating. An</w:t>
      </w:r>
      <w:r>
        <w:t xml:space="preserve"> </w:t>
      </w:r>
      <w:r>
        <w:t xml:space="preserve">iterative method absorbs that feedback without a heavyweight change process.</w:t>
      </w:r>
    </w:p>
    <w:p>
      <w:pPr>
        <w:pStyle w:val="BodyText"/>
      </w:pPr>
      <w:r>
        <w:t xml:space="preserve">A strictly sequential waterfall plan was rejected as too brittle for a body of work in which</w:t>
      </w:r>
      <w:r>
        <w:t xml:space="preserve"> </w:t>
      </w:r>
      <w:r>
        <w:t xml:space="preserve">understanding deepens as the artefacts accumulate; committing the full design before any code was</w:t>
      </w:r>
      <w:r>
        <w:t xml:space="preserve"> </w:t>
      </w:r>
      <w:r>
        <w:t xml:space="preserve">written would have locked in early misjudgements. Equally, a ceremony-heavy framework such as full</w:t>
      </w:r>
      <w:r>
        <w:t xml:space="preserve"> </w:t>
      </w:r>
      <w:r>
        <w:t xml:space="preserve">Scrum offers little value to a team of one. The project therefore took a lightweight, milestone-gated</w:t>
      </w:r>
      <w:r>
        <w:t xml:space="preserve"> </w:t>
      </w:r>
      <w:r>
        <w:t xml:space="preserve">iteration: design and build proceeded in cycles, but iteration is bounded by the milestone structure</w:t>
      </w:r>
      <w:r>
        <w:t xml:space="preserve"> </w:t>
      </w:r>
      <w:r>
        <w:t xml:space="preserve">of §3.4 so that flexibility does not become drift — a tension assessed critically in §3.10.</w:t>
      </w:r>
    </w:p>
    <w:bookmarkEnd w:id="46"/>
    <w:bookmarkStart w:id="56" w:name="project-plan"/>
    <w:p>
      <w:pPr>
        <w:pStyle w:val="Heading2"/>
      </w:pPr>
      <w:r>
        <w:t xml:space="preserve">3.4 Project Plan</w:t>
      </w:r>
    </w:p>
    <w:p>
      <w:pPr>
        <w:pStyle w:val="FirstParagraph"/>
      </w:pPr>
      <w:r>
        <w:t xml:space="preserve">The plan decomposes the work into six phases over 24 weeks, presented below as a work breakdown</w:t>
      </w:r>
      <w:r>
        <w:t xml:space="preserve"> </w:t>
      </w:r>
      <w:r>
        <w:t xml:space="preserve">structure (§3.4.1), a Gantt timeline (§3.4.2) and a milestone/critical-path table (§3.4.3). The full</w:t>
      </w:r>
      <w:r>
        <w:t xml:space="preserve"> </w:t>
      </w:r>
      <w:r>
        <w:t xml:space="preserve">artefacts are reproduced at full resolution in Appendix B.</w:t>
      </w:r>
    </w:p>
    <w:bookmarkStart w:id="50" w:name="work-breakdown-structure-wbs"/>
    <w:p>
      <w:pPr>
        <w:pStyle w:val="Heading3"/>
      </w:pPr>
      <w:r>
        <w:t xml:space="preserve">3.4.1 Work Breakdown Structure (WBS)</w:t>
      </w:r>
    </w:p>
    <w:p>
      <w:pPr>
        <w:pStyle w:val="FirstParagraph"/>
      </w:pPr>
      <w:r>
        <w:t xml:space="preserve">The work breakdown structure decomposes the project into the six phases and their constituent tasks,</w:t>
      </w:r>
      <w:r>
        <w:t xml:space="preserve"> </w:t>
      </w:r>
      <w:r>
        <w:t xml:space="preserve">as shown in Figure 3.1.</w:t>
      </w:r>
    </w:p>
    <w:p>
      <w:pPr>
        <w:pStyle w:val="BodyText"/>
        <w:jc w:val="center"/>
      </w:pPr>
      <w:r>
        <w:drawing>
          <wp:inline>
            <wp:extent cx="2651760" cy="6670978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_assets/figure-3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6670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3.1 — Work Breakdown Structure.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author.)</w:t>
      </w:r>
    </w:p>
    <w:bookmarkEnd w:id="50"/>
    <w:bookmarkStart w:id="54" w:name="gantt-chart-and-timeline"/>
    <w:p>
      <w:pPr>
        <w:pStyle w:val="Heading3"/>
      </w:pPr>
      <w:r>
        <w:t xml:space="preserve">3.4.2 Gantt Chart and Timeline</w:t>
      </w:r>
    </w:p>
    <w:p>
      <w:pPr>
        <w:pStyle w:val="FirstParagraph"/>
      </w:pPr>
      <w:r>
        <w:t xml:space="preserve">The 24-week schedule is shown in Figure 3.2, mirroring the project’s planning workbook. Weeks are</w:t>
      </w:r>
      <w:r>
        <w:t xml:space="preserve"> </w:t>
      </w:r>
      <w:r>
        <w:t xml:space="preserve">mapped to a notional calendar beginning Week 1; the same data is reproduced at full resolution in</w:t>
      </w:r>
      <w:r>
        <w:t xml:space="preserve"> </w:t>
      </w:r>
      <w:r>
        <w:t xml:space="preserve">Appendix B. The middle phases — modelling the six processes (Phase 3) and translating them into the</w:t>
      </w:r>
      <w:r>
        <w:t xml:space="preserve"> </w:t>
      </w:r>
      <w:r>
        <w:t xml:space="preserve">architecture, schema, API and working code (Phase 4) — carry the bulk of the design-and-build effort.</w:t>
      </w:r>
    </w:p>
    <w:p>
      <w:pPr>
        <w:pStyle w:val="BodyText"/>
        <w:jc w:val="center"/>
      </w:pPr>
      <w:r>
        <w:drawing>
          <wp:inline>
            <wp:extent cx="5334000" cy="3322291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_assets/figure-3-2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2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3.2 — Project Gantt chart (24 weeks, 6 phases).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author, mirroring the project planning workbook.)</w:t>
      </w:r>
    </w:p>
    <w:bookmarkEnd w:id="54"/>
    <w:bookmarkStart w:id="55" w:name="milestones-and-critical-path"/>
    <w:p>
      <w:pPr>
        <w:pStyle w:val="Heading3"/>
      </w:pPr>
      <w:r>
        <w:t xml:space="preserve">3.4.3 Milestones and Critical Path</w:t>
      </w:r>
    </w:p>
    <w:p>
      <w:pPr>
        <w:pStyle w:val="FirstParagraph"/>
      </w:pPr>
      <w:r>
        <w:t xml:space="preserve">Six milestones gate the project; the critical path runs through the design-and-build phases (3 and 4),</w:t>
      </w:r>
      <w:r>
        <w:t xml:space="preserve"> </w:t>
      </w:r>
      <w:r>
        <w:t xml:space="preserve">since Chapter 4 cannot be completed until the process models, architecture, schema, API and</w:t>
      </w:r>
      <w:r>
        <w:t xml:space="preserve"> </w:t>
      </w:r>
      <w:r>
        <w:t xml:space="preserve">traceability matrix are in place. Table 3.1 lists the milestones.</w:t>
      </w:r>
    </w:p>
    <w:p>
      <w:pPr>
        <w:pStyle w:val="BodyText"/>
      </w:pPr>
      <w:r>
        <w:rPr>
          <w:b/>
          <w:bCs/>
        </w:rPr>
        <w:t xml:space="preserve">Table 3.1 — Milestones and critical path.</w:t>
      </w:r>
      <w:r>
        <w:t xml:space="preserve"> </w:t>
      </w:r>
      <w:r>
        <w:rPr>
          <w:i/>
          <w:iCs/>
        </w:rPr>
        <w:t xml:space="preserve">(Source: author, derived from the Gantt workbook.)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Milestone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Target week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On critical path?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 — Project proposal approved</w:t>
            </w:r>
          </w:p>
        </w:tc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— Literature review finalised</w:t>
            </w:r>
          </w:p>
        </w:tc>
        <w:tc>
          <w:tcPr/>
          <w:p>
            <w:pPr>
              <w:pStyle w:val="Compact"/>
            </w:pPr>
            <w:r>
              <w:t xml:space="preserve">W6</w:t>
            </w:r>
          </w:p>
        </w:tc>
        <w:tc>
          <w:tcPr/>
          <w:p>
            <w:pPr>
              <w:pStyle w:val="Compact"/>
            </w:pPr>
            <w:r>
              <w:t xml:space="preserve">No (parallel to planning)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— Process modelling complete</w:t>
            </w:r>
          </w:p>
        </w:tc>
        <w:tc>
          <w:tcPr/>
          <w:p>
            <w:pPr>
              <w:pStyle w:val="Compact"/>
            </w:pPr>
            <w:r>
              <w:t xml:space="preserve">W10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— Architecture &amp; design complete</w:t>
            </w:r>
          </w:p>
        </w:tc>
        <w:tc>
          <w:tcPr/>
          <w:p>
            <w:pPr>
              <w:pStyle w:val="Compact"/>
            </w:pPr>
            <w:r>
              <w:t xml:space="preserve">W14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— First full draft complete</w:t>
            </w:r>
          </w:p>
        </w:tc>
        <w:tc>
          <w:tcPr/>
          <w:p>
            <w:pPr>
              <w:pStyle w:val="Compact"/>
            </w:pPr>
            <w:r>
              <w:t xml:space="preserve">W21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— Final submission</w:t>
            </w:r>
          </w:p>
        </w:tc>
        <w:tc>
          <w:tcPr/>
          <w:p>
            <w:pPr>
              <w:pStyle w:val="Compact"/>
            </w:pPr>
            <w:r>
              <w:t xml:space="preserve">W24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55"/>
    <w:bookmarkEnd w:id="56"/>
    <w:bookmarkStart w:id="57" w:name="resource-planning"/>
    <w:p>
      <w:pPr>
        <w:pStyle w:val="Heading2"/>
      </w:pPr>
      <w:r>
        <w:t xml:space="preserve">3.5 Resource Planning</w:t>
      </w:r>
    </w:p>
    <w:p>
      <w:pPr>
        <w:pStyle w:val="FirstParagraph"/>
      </w:pPr>
      <w:r>
        <w:t xml:space="preserve">The project is resourced by a single researcher using freely available or institution-provided tools,</w:t>
      </w:r>
      <w:r>
        <w:t xml:space="preserve"> </w:t>
      </w:r>
      <w:r>
        <w:t xml:space="preserve">keeping cost negligible and removing procurement as a schedule risk. Table 3.2 summarises the plan.</w:t>
      </w:r>
    </w:p>
    <w:p>
      <w:pPr>
        <w:pStyle w:val="BodyText"/>
      </w:pPr>
      <w:r>
        <w:rPr>
          <w:b/>
          <w:bCs/>
        </w:rPr>
        <w:t xml:space="preserve">Table 3.2 — Resource plan.</w:t>
      </w:r>
      <w:r>
        <w:t xml:space="preserve"> </w:t>
      </w:r>
      <w:r>
        <w:rPr>
          <w:i/>
          <w:iCs/>
        </w:rPr>
        <w:t xml:space="preserve">(Source: author.)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Resource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Provision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Researcher time</w:t>
            </w:r>
          </w:p>
        </w:tc>
        <w:tc>
          <w:tcPr/>
          <w:p>
            <w:pPr>
              <w:pStyle w:val="Compact"/>
            </w:pPr>
            <w:r>
              <w:t xml:space="preserve">~12–15 hrs/week across 24 weeks</w:t>
            </w:r>
          </w:p>
        </w:tc>
        <w:tc>
          <w:tcPr/>
          <w:p>
            <w:pPr>
              <w:pStyle w:val="Compact"/>
            </w:pPr>
            <w:r>
              <w:t xml:space="preserve">All phases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Scheduled review meetings (Appendix H)</w:t>
            </w:r>
          </w:p>
        </w:tc>
        <w:tc>
          <w:tcPr/>
          <w:p>
            <w:pPr>
              <w:pStyle w:val="Compact"/>
            </w:pPr>
            <w:r>
              <w:t xml:space="preserve">Feedback at milestones M1, M2, M4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Process-modelling tool</w:t>
            </w:r>
          </w:p>
        </w:tc>
        <w:tc>
          <w:tcPr/>
          <w:p>
            <w:pPr>
              <w:pStyle w:val="Compact"/>
            </w:pPr>
            <w:r>
              <w:t xml:space="preserve">bpmn.io / draw.io (free)</w:t>
            </w:r>
          </w:p>
        </w:tc>
        <w:tc>
          <w:tcPr/>
          <w:p>
            <w:pPr>
              <w:pStyle w:val="Compact"/>
            </w:pPr>
            <w:r>
              <w:t xml:space="preserve">The six BPMN process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Diagramming</w:t>
            </w:r>
          </w:p>
        </w:tc>
        <w:tc>
          <w:tcPr/>
          <w:p>
            <w:pPr>
              <w:pStyle w:val="Compact"/>
            </w:pPr>
            <w:r>
              <w:t xml:space="preserve">Mermaid (in-repo, free)</w:t>
            </w:r>
          </w:p>
        </w:tc>
        <w:tc>
          <w:tcPr/>
          <w:p>
            <w:pPr>
              <w:pStyle w:val="Compact"/>
            </w:pPr>
            <w:r>
              <w:t xml:space="preserve">C4, ERD, sequence, WBS, Gantt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environment</w:t>
            </w:r>
          </w:p>
        </w:tc>
        <w:tc>
          <w:tcPr/>
          <w:p>
            <w:pPr>
              <w:pStyle w:val="Compact"/>
            </w:pPr>
            <w:r>
              <w:t xml:space="preserve">Java 21+ / Spring Boot, Next.js/React/TypeScript, PostgreSQL</w:t>
            </w:r>
          </w:p>
        </w:tc>
        <w:tc>
          <w:tcPr/>
          <w:p>
            <w:pPr>
              <w:pStyle w:val="Compact"/>
            </w:pPr>
            <w:r>
              <w:t xml:space="preserve">Building and testing the EduMetric prototype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management</w:t>
            </w:r>
          </w:p>
        </w:tc>
        <w:tc>
          <w:tcPr/>
          <w:p>
            <w:pPr>
              <w:pStyle w:val="Compact"/>
            </w:pPr>
            <w:r>
              <w:t xml:space="preserve">Zotero + Harvard style (free)</w:t>
            </w:r>
          </w:p>
        </w:tc>
        <w:tc>
          <w:tcPr/>
          <w:p>
            <w:pPr>
              <w:pStyle w:val="Compact"/>
            </w:pPr>
            <w:r>
              <w:t xml:space="preserve">Citations, reference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Writing &amp; assembly</w:t>
            </w:r>
          </w:p>
        </w:tc>
        <w:tc>
          <w:tcPr/>
          <w:p>
            <w:pPr>
              <w:pStyle w:val="Compact"/>
            </w:pPr>
            <w:r>
              <w:t xml:space="preserve">Markdown → Word (template)</w:t>
            </w:r>
          </w:p>
        </w:tc>
        <w:tc>
          <w:tcPr/>
          <w:p>
            <w:pPr>
              <w:pStyle w:val="Compact"/>
            </w:pPr>
            <w:r>
              <w:t xml:space="preserve">Dissertation production</w:t>
            </w:r>
          </w:p>
        </w:tc>
      </w:tr>
    </w:tbl>
    <w:bookmarkEnd w:id="57"/>
    <w:bookmarkStart w:id="61" w:name="risk-register"/>
    <w:p>
      <w:pPr>
        <w:pStyle w:val="Heading2"/>
      </w:pPr>
      <w:r>
        <w:t xml:space="preserve">3.6 Risk Register</w:t>
      </w:r>
    </w:p>
    <w:p>
      <w:pPr>
        <w:pStyle w:val="FirstParagraph"/>
      </w:pPr>
      <w:r>
        <w:t xml:space="preserve">Ten risks were identified, assessed on a 1–5 probability/impact scale (risk score = P × I) and</w:t>
      </w:r>
      <w:r>
        <w:t xml:space="preserve"> </w:t>
      </w:r>
      <w:r>
        <w:t xml:space="preserve">assigned mitigation and contingency strategies. The register is reproduced from the project workbook as</w:t>
      </w:r>
      <w:r>
        <w:t xml:space="preserve"> </w:t>
      </w:r>
      <w:r>
        <w:t xml:space="preserve">Table 3.3 and at full resolution in Appendix C; its probability/impact distribution is visualised in</w:t>
      </w:r>
      <w:r>
        <w:t xml:space="preserve"> </w:t>
      </w:r>
      <w:r>
        <w:t xml:space="preserve">Figure 3.3.</w:t>
      </w:r>
    </w:p>
    <w:p>
      <w:pPr>
        <w:pStyle w:val="BodyText"/>
      </w:pPr>
      <w:r>
        <w:rPr>
          <w:b/>
          <w:bCs/>
        </w:rPr>
        <w:t xml:space="preserve">Table 3.3 — Risk register (R01–R10).</w:t>
      </w:r>
      <w:r>
        <w:t xml:space="preserve"> </w:t>
      </w:r>
      <w:r>
        <w:rPr>
          <w:i/>
          <w:iCs/>
        </w:rPr>
        <w:t xml:space="preserve">(Source: author’s project workbook; owner = Researcher; status = Open at time of writing.)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ID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Risk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Cat.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P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I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Score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Severity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Mitigation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Contingency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R01</w:t>
            </w:r>
          </w:p>
        </w:tc>
        <w:tc>
          <w:tcPr/>
          <w:p>
            <w:pPr>
              <w:pStyle w:val="Compact"/>
            </w:pPr>
            <w:r>
              <w:t xml:space="preserve">Limited literature directly comparable to a transparent, multi-dimensional composite-score model</w:t>
            </w:r>
          </w:p>
        </w:tc>
        <w:tc>
          <w:tcPr/>
          <w:p>
            <w:pPr>
              <w:pStyle w:val="Compact"/>
            </w:pPr>
            <w:r>
              <w:t xml:space="preserve">Academic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Supplement with broader learning-analytics, architecture and requirements literature; triangulate across themes</w:t>
            </w:r>
          </w:p>
        </w:tc>
        <w:tc>
          <w:tcPr/>
          <w:p>
            <w:pPr>
              <w:pStyle w:val="Compact"/>
            </w:pPr>
            <w:r>
              <w:t xml:space="preserve">Expand search to IEEE Xplore and ACM Digital Library; cite adjacent transparency/early-warning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R02</w:t>
            </w:r>
          </w:p>
        </w:tc>
        <w:tc>
          <w:tcPr/>
          <w:p>
            <w:pPr>
              <w:pStyle w:val="Compact"/>
            </w:pPr>
            <w:r>
              <w:t xml:space="preserve">Scope creep — the feature set expands beyond the core six modules / MVP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Lock the MVP to the six core processes in the master document; review every increment against the locked scope</w:t>
            </w:r>
          </w:p>
        </w:tc>
        <w:tc>
          <w:tcPr/>
          <w:p>
            <w:pPr>
              <w:pStyle w:val="Compact"/>
            </w:pPr>
            <w:r>
              <w:t xml:space="preserve">Defer non-core modules to a</w:t>
            </w:r>
            <w:r>
              <w:t xml:space="preserve"> </w:t>
            </w:r>
            <w:r>
              <w:t xml:space="preserve">“future work”</w:t>
            </w:r>
            <w:r>
              <w:t xml:space="preserve"> </w:t>
            </w:r>
            <w:r>
              <w:t xml:space="preserve">backlog (§6.4); re-anchor to the six processes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R03</w:t>
            </w:r>
          </w:p>
        </w:tc>
        <w:tc>
          <w:tcPr/>
          <w:p>
            <w:pPr>
              <w:pStyle w:val="Compact"/>
            </w:pPr>
            <w:r>
              <w:t xml:space="preserve">Divergence between the design artefacts (architecture, ERD, process models) and the implemented code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Maintain a version-controlled requirements-to-test traceability matrix; map every activity to module, entity, endpoint and test</w:t>
            </w:r>
          </w:p>
        </w:tc>
        <w:tc>
          <w:tcPr/>
          <w:p>
            <w:pPr>
              <w:pStyle w:val="Compact"/>
            </w:pPr>
            <w:r>
              <w:t xml:space="preserve">Re-derive the affected artefact from the design models and re-run the traceability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</w:t>
            </w:r>
          </w:p>
        </w:tc>
        <w:tc>
          <w:tcPr/>
          <w:p>
            <w:pPr>
              <w:pStyle w:val="Compact"/>
            </w:pPr>
            <w:r>
              <w:t xml:space="preserve">Schedule delay from running academic writing and software development in parallel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Milestone-based Gantt with buffer weeks; weekly progress review against the plan</w:t>
            </w:r>
          </w:p>
        </w:tc>
        <w:tc>
          <w:tcPr/>
          <w:p>
            <w:pPr>
              <w:pStyle w:val="Compact"/>
            </w:pPr>
            <w:r>
              <w:t xml:space="preserve">Deprioritise lower-impact appendix content; protect Chapters 4–5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R05</w:t>
            </w:r>
          </w:p>
        </w:tc>
        <w:tc>
          <w:tcPr/>
          <w:p>
            <w:pPr>
              <w:pStyle w:val="Compact"/>
            </w:pPr>
            <w:r>
              <w:t xml:space="preserve">The composite-score formula behaves incorrectly on edge cases / small samples, eroding trust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Keep the metrics engine pure and 100% unit-testable; cover edge cases (empty data, single sample) with test cases</w:t>
            </w:r>
          </w:p>
        </w:tc>
        <w:tc>
          <w:tcPr/>
          <w:p>
            <w:pPr>
              <w:pStyle w:val="Compact"/>
            </w:pPr>
            <w:r>
              <w:t xml:space="preserve">Add guard clauses and confidence flags; document known limits of the 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R06</w:t>
            </w:r>
          </w:p>
        </w:tc>
        <w:tc>
          <w:tcPr/>
          <w:p>
            <w:pPr>
              <w:pStyle w:val="Compact"/>
            </w:pPr>
            <w:r>
              <w:t xml:space="preserve">EduMetric implementation incomplete at submission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Prioritise the six core modules; treat extension features as optional; partial implementation acceptable for evaluation</w:t>
            </w:r>
          </w:p>
        </w:tc>
        <w:tc>
          <w:tcPr/>
          <w:p>
            <w:pPr>
              <w:pStyle w:val="Compact"/>
            </w:pPr>
            <w:r>
              <w:t xml:space="preserve">Clearly document the scope of completed implementation; evaluate what is 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R07</w:t>
            </w:r>
          </w:p>
        </w:tc>
        <w:tc>
          <w:tcPr/>
          <w:p>
            <w:pPr>
              <w:pStyle w:val="Compact"/>
            </w:pPr>
            <w:r>
              <w:t xml:space="preserve">Traceability links break when the architecture or database schema changes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Version-control the traceability matrix alongside the dissertation; propagate schema changes in a single pass</w:t>
            </w:r>
          </w:p>
        </w:tc>
        <w:tc>
          <w:tcPr/>
          <w:p>
            <w:pPr>
              <w:pStyle w:val="Compact"/>
            </w:pPr>
            <w:r>
              <w:t xml:space="preserve">Flag affected chapters and update all references together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R08</w:t>
            </w:r>
          </w:p>
        </w:tc>
        <w:tc>
          <w:tcPr/>
          <w:p>
            <w:pPr>
              <w:pStyle w:val="Compact"/>
            </w:pPr>
            <w:r>
              <w:t xml:space="preserve">Academic sources unavailable through the university library</w:t>
            </w:r>
          </w:p>
        </w:tc>
        <w:tc>
          <w:tcPr/>
          <w:p>
            <w:pPr>
              <w:pStyle w:val="Compact"/>
            </w:pPr>
            <w:r>
              <w:t xml:space="preserve">Academic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Use Google Scholar, ResearchGate and author pre-prints; cite DOI links</w:t>
            </w:r>
          </w:p>
        </w:tc>
        <w:tc>
          <w:tcPr/>
          <w:p>
            <w:pPr>
              <w:pStyle w:val="Compact"/>
            </w:pPr>
            <w:r>
              <w:t xml:space="preserve">Use an alternative edition or closest available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R09</w:t>
            </w:r>
          </w:p>
        </w:tc>
        <w:tc>
          <w:tcPr/>
          <w:p>
            <w:pPr>
              <w:pStyle w:val="Compact"/>
            </w:pPr>
            <w:r>
              <w:t xml:space="preserve">Reflective chapter lacks genuine critical depth (Ch 7)</w:t>
            </w:r>
          </w:p>
        </w:tc>
        <w:tc>
          <w:tcPr/>
          <w:p>
            <w:pPr>
              <w:pStyle w:val="Compact"/>
            </w:pPr>
            <w:r>
              <w:t xml:space="preserve">Academic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Use Gibbs’ Reflective Cycle with specific project examples; avoid generic statements</w:t>
            </w:r>
          </w:p>
        </w:tc>
        <w:tc>
          <w:tcPr/>
          <w:p>
            <w:pPr>
              <w:pStyle w:val="Compact"/>
            </w:pPr>
            <w:r>
              <w:t xml:space="preserve">Add concrete examples from design modelling and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Artefact inconsistency across chapters (module names, endpoint paths, terminology)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Lock terminology in the master document; enforce consistent module, entity and endpoint names</w:t>
            </w:r>
          </w:p>
        </w:tc>
        <w:tc>
          <w:tcPr/>
          <w:p>
            <w:pPr>
              <w:pStyle w:val="Compact"/>
            </w:pPr>
            <w:r>
              <w:t xml:space="preserve">Full terminology and endpoint-path review pass before final submission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Impact ↓  Prob →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P1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P2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P3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P4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P5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R06, R07</w:t>
            </w:r>
          </w:p>
        </w:tc>
        <w:tc>
          <w:tcPr/>
          <w:p>
            <w:pPr>
              <w:pStyle w:val="Compact"/>
            </w:pPr>
            <w:r>
              <w:t xml:space="preserve">R02, R04, R10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R01, R05, R08, R09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  <w:jc w:val="center"/>
      </w:pPr>
      <w:r>
        <w:drawing>
          <wp:inline>
            <wp:extent cx="5334000" cy="4167909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_assets/figure-3-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7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3.3 — Risk heat-map (Probability × Impact, R01–R10).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author, derived from Table 3.3.)</w:t>
      </w:r>
    </w:p>
    <w:p>
      <w:pPr>
        <w:pStyle w:val="BodyText"/>
      </w:pPr>
      <w:r>
        <w:t xml:space="preserve">The distribution shows the dominant exposure is</w:t>
      </w:r>
      <w:r>
        <w:t xml:space="preserve"> </w:t>
      </w:r>
      <w:r>
        <w:rPr>
          <w:b/>
          <w:bCs/>
        </w:rPr>
        <w:t xml:space="preserve">consistency between the design and the code</w:t>
      </w:r>
      <w:r>
        <w:t xml:space="preserve">: the</w:t>
      </w:r>
      <w:r>
        <w:t xml:space="preserve"> </w:t>
      </w:r>
      <w:r>
        <w:t xml:space="preserve">single critical risk is design↔code divergence (R03), and the high-severity cluster — scope creep</w:t>
      </w:r>
      <w:r>
        <w:t xml:space="preserve"> </w:t>
      </w:r>
      <w:r>
        <w:t xml:space="preserve">(R02), parallel-track schedule pressure (R04) and cross-chapter artefact inconsistency (R10) — all</w:t>
      </w:r>
      <w:r>
        <w:t xml:space="preserve"> </w:t>
      </w:r>
      <w:r>
        <w:t xml:space="preserve">threaten the integrity of the engineering record. This is precisely why the project’s central control</w:t>
      </w:r>
      <w:r>
        <w:t xml:space="preserve"> </w:t>
      </w:r>
      <w:r>
        <w:t xml:space="preserve">is a maintained, version-controlled requirements-to-test traceability matrix rather than any single</w:t>
      </w:r>
      <w:r>
        <w:t xml:space="preserve"> </w:t>
      </w:r>
      <w:r>
        <w:t xml:space="preserve">diagram: the matrix ties the design models to the implemented modules, entities, endpoints and tests,</w:t>
      </w:r>
      <w:r>
        <w:t xml:space="preserve"> </w:t>
      </w:r>
      <w:r>
        <w:t xml:space="preserve">so divergence is detected early and corrected in one pass.</w:t>
      </w:r>
    </w:p>
    <w:bookmarkEnd w:id="61"/>
    <w:bookmarkStart w:id="62" w:name="ethical-considerations"/>
    <w:p>
      <w:pPr>
        <w:pStyle w:val="Heading2"/>
      </w:pPr>
      <w:r>
        <w:t xml:space="preserve">3.7 Ethical Considerations</w:t>
      </w:r>
    </w:p>
    <w:p>
      <w:pPr>
        <w:pStyle w:val="FirstParagraph"/>
      </w:pPr>
      <w:r>
        <w:t xml:space="preserve">The project is</w:t>
      </w:r>
      <w:r>
        <w:t xml:space="preserve"> </w:t>
      </w:r>
      <w:r>
        <w:rPr>
          <w:b/>
          <w:bCs/>
        </w:rPr>
        <w:t xml:space="preserve">low-risk</w:t>
      </w:r>
      <w:r>
        <w:t xml:space="preserve"> </w:t>
      </w:r>
      <w:r>
        <w:t xml:space="preserve">with respect to research ethics. It collects</w:t>
      </w:r>
      <w:r>
        <w:t xml:space="preserve"> </w:t>
      </w:r>
      <w:r>
        <w:rPr>
          <w:b/>
          <w:bCs/>
        </w:rPr>
        <w:t xml:space="preserve">no data from human</w:t>
      </w:r>
      <w:r>
        <w:rPr>
          <w:b/>
          <w:bCs/>
        </w:rPr>
        <w:t xml:space="preserve"> </w:t>
      </w:r>
      <w:r>
        <w:rPr>
          <w:b/>
          <w:bCs/>
        </w:rPr>
        <w:t xml:space="preserve">participants</w:t>
      </w:r>
      <w:r>
        <w:t xml:space="preserve">: its evidence is software artefacts and the system’s own synthetic / anonymised academic</w:t>
      </w:r>
      <w:r>
        <w:t xml:space="preserve"> </w:t>
      </w:r>
      <w:r>
        <w:t xml:space="preserve">records. Because there are no participants, the usual safeguards of informed consent and the</w:t>
      </w:r>
      <w:r>
        <w:t xml:space="preserve"> </w:t>
      </w:r>
      <w:r>
        <w:rPr>
          <w:b/>
          <w:bCs/>
        </w:rPr>
        <w:t xml:space="preserve">right to</w:t>
      </w:r>
      <w:r>
        <w:rPr>
          <w:b/>
          <w:bCs/>
        </w:rPr>
        <w:t xml:space="preserve"> </w:t>
      </w:r>
      <w:r>
        <w:rPr>
          <w:b/>
          <w:bCs/>
        </w:rPr>
        <w:t xml:space="preserve">withdraw are not applicable</w:t>
      </w:r>
      <w:r>
        <w:t xml:space="preserve"> </w:t>
      </w:r>
      <w:r>
        <w:t xml:space="preserve">— there is no one to withdraw, and no personal data to be processed. The</w:t>
      </w:r>
      <w:r>
        <w:t xml:space="preserve"> </w:t>
      </w:r>
      <w:r>
        <w:t xml:space="preserve">academic data used to demonstrate the analytics (Appendix F) contain no real names or identifiers;</w:t>
      </w:r>
      <w:r>
        <w:t xml:space="preserve"> </w:t>
      </w:r>
      <w:r>
        <w:t xml:space="preserve">learners are represented by opaque codes, consistent with the data-minimisation principle and aligned</w:t>
      </w:r>
      <w:r>
        <w:t xml:space="preserve"> </w:t>
      </w:r>
      <w:r>
        <w:t xml:space="preserve">with the General Data Protection Regulation’s requirements for the lawful, fair and minimal handling of</w:t>
      </w:r>
      <w:r>
        <w:t xml:space="preserve"> </w:t>
      </w:r>
      <w:r>
        <w:t xml:space="preserve">personal data (European Parliament and Council, 2016). No special-category data are processed.</w:t>
      </w:r>
    </w:p>
    <w:p>
      <w:pPr>
        <w:pStyle w:val="BodyText"/>
      </w:pPr>
      <w:r>
        <w:t xml:space="preserve">Where the system would, in production, hold real student records, the design itself embeds the relevant</w:t>
      </w:r>
      <w:r>
        <w:t xml:space="preserve"> </w:t>
      </w:r>
      <w:r>
        <w:t xml:space="preserve">protections — role-based access control, audit logging and configurable retention — but these are</w:t>
      </w:r>
      <w:r>
        <w:t xml:space="preserve"> </w:t>
      </w:r>
      <w:r>
        <w:t xml:space="preserve">described as</w:t>
      </w:r>
      <w:r>
        <w:t xml:space="preserve"> </w:t>
      </w:r>
      <w:r>
        <w:rPr>
          <w:b/>
          <w:bCs/>
        </w:rPr>
        <w:t xml:space="preserve">design properties of the artefact</w:t>
      </w:r>
      <w:r>
        <w:t xml:space="preserve">, not as live data-collection activities of the</w:t>
      </w:r>
      <w:r>
        <w:t xml:space="preserve"> </w:t>
      </w:r>
      <w:r>
        <w:t xml:space="preserve">research. The institutional ethics declaration and a low-risk self-assessment are provided in</w:t>
      </w:r>
      <w:r>
        <w:t xml:space="preserve"> </w:t>
      </w:r>
      <w:r>
        <w:t xml:space="preserve">Appendix D. ⟨STUDENT INPUT: ethics-form signature and date⟩.</w:t>
      </w:r>
    </w:p>
    <w:bookmarkEnd w:id="62"/>
    <w:bookmarkStart w:id="63" w:name="project-tracking-and-documentation"/>
    <w:p>
      <w:pPr>
        <w:pStyle w:val="Heading2"/>
      </w:pPr>
      <w:r>
        <w:t xml:space="preserve">3.8 Project Tracking and Documentation</w:t>
      </w:r>
    </w:p>
    <w:p>
      <w:pPr>
        <w:pStyle w:val="FirstParagraph"/>
      </w:pPr>
      <w:r>
        <w:t xml:space="preserve">Progress was tracked against the milestone structure of §3.4 using a lightweight task board and a</w:t>
      </w:r>
      <w:r>
        <w:t xml:space="preserve"> </w:t>
      </w:r>
      <w:r>
        <w:t xml:space="preserve">dated logbook, with the project’s source artefacts version-controlled in the EduMetric repository so</w:t>
      </w:r>
      <w:r>
        <w:t xml:space="preserve"> </w:t>
      </w:r>
      <w:r>
        <w:t xml:space="preserve">that any change to the architecture or schema could be propagated to the traceability matrix in a</w:t>
      </w:r>
      <w:r>
        <w:t xml:space="preserve"> </w:t>
      </w:r>
      <w:r>
        <w:t xml:space="preserve">single pass (mitigating R03 and R07). A screenshot of the tracking tool is provided as Figure 3.4, and</w:t>
      </w:r>
      <w:r>
        <w:t xml:space="preserve"> </w:t>
      </w:r>
      <w:r>
        <w:t xml:space="preserve">the full logbook and supervisor-meeting records are given in Appendices G and H respectively.</w:t>
      </w:r>
    </w:p>
    <w:p>
      <w:pPr>
        <w:pStyle w:val="BlockText"/>
      </w:pPr>
      <w:r>
        <w:rPr>
          <w:b/>
          <w:bCs/>
        </w:rPr>
        <w:t xml:space="preserve">[Figure 3.4]</w:t>
      </w:r>
      <w:r>
        <w:t xml:space="preserve"> </w:t>
      </w:r>
      <w:r>
        <w:t xml:space="preserve">— screenshot to be inserted from the running EduMetric application.</w:t>
      </w:r>
    </w:p>
    <w:bookmarkEnd w:id="63"/>
    <w:bookmarkStart w:id="64" w:name="implementation-of-the-plan"/>
    <w:p>
      <w:pPr>
        <w:pStyle w:val="Heading2"/>
      </w:pPr>
      <w:r>
        <w:t xml:space="preserve">3.9 Implementation of the Plan</w:t>
      </w:r>
    </w:p>
    <w:p>
      <w:pPr>
        <w:pStyle w:val="FirstParagraph"/>
      </w:pPr>
      <w:r>
        <w:t xml:space="preserve">The plan was executed broadly as scheduled, with the design-and-build phases (3 and 4) consuming the</w:t>
      </w:r>
      <w:r>
        <w:t xml:space="preserve"> </w:t>
      </w:r>
      <w:r>
        <w:t xml:space="preserve">greatest effort and the writing phase absorbing the minor slippage that the buffer weeks were reserved</w:t>
      </w:r>
      <w:r>
        <w:t xml:space="preserve"> </w:t>
      </w:r>
      <w:r>
        <w:t xml:space="preserve">for. Following the iterative method of §3.3, the six core processes were first modelled and then built</w:t>
      </w:r>
      <w:r>
        <w:t xml:space="preserve"> </w:t>
      </w:r>
      <w:r>
        <w:t xml:space="preserve">out incrementally into the running system: authentication and attendance, then the evaluation</w:t>
      </w:r>
      <w:r>
        <w:t xml:space="preserve"> </w:t>
      </w:r>
      <w:r>
        <w:t xml:space="preserve">(metrics-engine) and analytics modules, then at-risk detection and admin monitoring. Each increment was</w:t>
      </w:r>
      <w:r>
        <w:t xml:space="preserve"> </w:t>
      </w:r>
      <w:r>
        <w:t xml:space="preserve">checked against the requirements-to-test traceability matrix before the next was started, which kept</w:t>
      </w:r>
      <w:r>
        <w:t xml:space="preserve"> </w:t>
      </w:r>
      <w:r>
        <w:t xml:space="preserve">the implemented code aligned with the design models and held the critical design↔code divergence risk</w:t>
      </w:r>
      <w:r>
        <w:t xml:space="preserve"> </w:t>
      </w:r>
      <w:r>
        <w:t xml:space="preserve">(R03) in check.</w:t>
      </w:r>
    </w:p>
    <w:p>
      <w:pPr>
        <w:pStyle w:val="BodyText"/>
      </w:pPr>
      <w:r>
        <w:t xml:space="preserve">During the implementation stage, the prototype of EduMetric was developed with its key screens,</w:t>
      </w:r>
      <w:r>
        <w:t xml:space="preserve"> </w:t>
      </w:r>
      <w:r>
        <w:t xml:space="preserve">including login, the student growth dashboard, teacher attendance and grading, admin formula</w:t>
      </w:r>
      <w:r>
        <w:t xml:space="preserve"> </w:t>
      </w:r>
      <w:r>
        <w:t xml:space="preserve">configuration, analytics and at-risk monitoring pages. The implementation evidence — the working</w:t>
      </w:r>
      <w:r>
        <w:t xml:space="preserve"> </w:t>
      </w:r>
      <w:r>
        <w:t xml:space="preserve">EduMetric interface that realises the modelled processes — is documented in Appendix J. Screenshots of</w:t>
      </w:r>
      <w:r>
        <w:t xml:space="preserve"> </w:t>
      </w:r>
      <w:r>
        <w:t xml:space="preserve">the implemented user interface are provided in Appendix J.</w:t>
      </w:r>
    </w:p>
    <w:bookmarkEnd w:id="64"/>
    <w:bookmarkStart w:id="65" w:name="X4a9cd54f262cffa00bbbc8f6d115b55e9c4a265"/>
    <w:p>
      <w:pPr>
        <w:pStyle w:val="Heading2"/>
      </w:pPr>
      <w:r>
        <w:t xml:space="preserve">3.10 Critical Assessment of Project Management</w:t>
      </w:r>
    </w:p>
    <w:p>
      <w:pPr>
        <w:pStyle w:val="FirstParagraph"/>
      </w:pPr>
      <w:r>
        <w:rPr>
          <w:i/>
          <w:iCs/>
        </w:rPr>
        <w:t xml:space="preserve">(D2)</w:t>
      </w:r>
      <w:r>
        <w:t xml:space="preserve"> </w:t>
      </w:r>
      <w:r>
        <w:t xml:space="preserve">Judged critically, the project-management approach was effective in the dimensions that mattered</w:t>
      </w:r>
      <w:r>
        <w:t xml:space="preserve"> </w:t>
      </w:r>
      <w:r>
        <w:t xml:space="preserve">most and weaker in one. Its principal strength was</w:t>
      </w:r>
      <w:r>
        <w:t xml:space="preserve"> </w:t>
      </w:r>
      <w:r>
        <w:rPr>
          <w:b/>
          <w:bCs/>
        </w:rPr>
        <w:t xml:space="preserve">risk-led control</w:t>
      </w:r>
      <w:r>
        <w:t xml:space="preserve">: by identifying design↔code</w:t>
      </w:r>
      <w:r>
        <w:t xml:space="preserve"> </w:t>
      </w:r>
      <w:r>
        <w:t xml:space="preserve">divergence (R03) as the critical risk at the outset and adopting a version-controlled</w:t>
      </w:r>
      <w:r>
        <w:t xml:space="preserve"> </w:t>
      </w:r>
      <w:r>
        <w:t xml:space="preserve">requirements-to-test traceability matrix as the standing mitigation, the project converted its greatest</w:t>
      </w:r>
      <w:r>
        <w:t xml:space="preserve"> </w:t>
      </w:r>
      <w:r>
        <w:t xml:space="preserve">threat into its central method — an alignment of risk management and methodology that paid off directly</w:t>
      </w:r>
      <w:r>
        <w:t xml:space="preserve"> </w:t>
      </w:r>
      <w:r>
        <w:t xml:space="preserve">in the design-and-build work of Chapter 4. The milestone-gated iterative approach (§3.3) also handled</w:t>
      </w:r>
      <w:r>
        <w:t xml:space="preserve"> </w:t>
      </w:r>
      <w:r>
        <w:t xml:space="preserve">the inherent interdependence of the artefacts well, allowing refinements discovered during modelling</w:t>
      </w:r>
      <w:r>
        <w:t xml:space="preserve"> </w:t>
      </w:r>
      <w:r>
        <w:t xml:space="preserve">and coding to flow back into the architecture and schema without derailing the schedule, while the</w:t>
      </w:r>
      <w:r>
        <w:t xml:space="preserve"> </w:t>
      </w:r>
      <w:r>
        <w:t xml:space="preserve">locked MVP scope kept feature growth (R02) contained to the six core modules.</w:t>
      </w:r>
    </w:p>
    <w:p>
      <w:pPr>
        <w:pStyle w:val="BodyText"/>
      </w:pPr>
      <w:r>
        <w:t xml:space="preserve">The principal weakness was the</w:t>
      </w:r>
      <w:r>
        <w:t xml:space="preserve"> </w:t>
      </w:r>
      <w:r>
        <w:rPr>
          <w:b/>
          <w:bCs/>
        </w:rPr>
        <w:t xml:space="preserve">optimism of the parallel-track schedule</w:t>
      </w:r>
      <w:r>
        <w:t xml:space="preserve"> </w:t>
      </w:r>
      <w:r>
        <w:t xml:space="preserve">(R04): running literature</w:t>
      </w:r>
      <w:r>
        <w:t xml:space="preserve"> </w:t>
      </w:r>
      <w:r>
        <w:t xml:space="preserve">and academic writing alongside the build assumed an even effort distribution that the artefact- and</w:t>
      </w:r>
      <w:r>
        <w:t xml:space="preserve"> </w:t>
      </w:r>
      <w:r>
        <w:t xml:space="preserve">code-intensive middle phases did not respect, and only the deliberately reserved buffer weeks kept the</w:t>
      </w:r>
      <w:r>
        <w:t xml:space="preserve"> </w:t>
      </w:r>
      <w:r>
        <w:t xml:space="preserve">first-draft milestone (M4) intact. A more defensive plan would have front-loaded a larger buffer before</w:t>
      </w:r>
      <w:r>
        <w:t xml:space="preserve"> </w:t>
      </w:r>
      <w:r>
        <w:t xml:space="preserve">Phase 4 and split the development work into finer increments to smooth the load. On balance, the</w:t>
      </w:r>
      <w:r>
        <w:t xml:space="preserve"> </w:t>
      </w:r>
      <w:r>
        <w:t xml:space="preserve">methodology was fit for a single-researcher design-science capstone: it was disciplined enough to</w:t>
      </w:r>
      <w:r>
        <w:t xml:space="preserve"> </w:t>
      </w:r>
      <w:r>
        <w:t xml:space="preserve">guarantee traceability between intent, design and code, yet flexible enough to absorb the iterative</w:t>
      </w:r>
      <w:r>
        <w:t xml:space="preserve"> </w:t>
      </w:r>
      <w:r>
        <w:t xml:space="preserve">nature of artefact construction, and its few shortcomings were contained rather than realised.</w:t>
      </w:r>
    </w:p>
    <w:bookmarkEnd w:id="65"/>
    <w:bookmarkEnd w:id="66"/>
    <w:bookmarkStart w:id="137" w:name="X3e73626e0eae521e0ec13ae7d53d5f6343d96e8"/>
    <w:p>
      <w:pPr>
        <w:pStyle w:val="Heading1"/>
        <w:pageBreakBefore/>
      </w:pPr>
      <w:r>
        <w:t xml:space="preserve">Chapter 4 — System Analysis, Design and Implementation</w:t>
      </w:r>
    </w:p>
    <w:p>
      <w:pPr>
        <w:pStyle w:val="FirstParagraph"/>
      </w:pPr>
      <w:r>
        <w:rPr>
          <w:i/>
          <w:iCs/>
        </w:rPr>
        <w:t xml:space="preserve">Addresses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LO3 — P5, M3, M4</w:t>
      </w:r>
    </w:p>
    <w:bookmarkStart w:id="70" w:name="method"/>
    <w:p>
      <w:pPr>
        <w:pStyle w:val="Heading2"/>
      </w:pPr>
      <w:r>
        <w:t xml:space="preserve">4.1 Method</w:t>
      </w:r>
    </w:p>
    <w:p>
      <w:pPr>
        <w:pStyle w:val="FirstParagraph"/>
      </w:pPr>
      <w:r>
        <w:t xml:space="preserve">This chapter specifies, designs and implements EduMetric, the web-based multi-dimensional student</w:t>
      </w:r>
      <w:r>
        <w:t xml:space="preserve"> </w:t>
      </w:r>
      <w:r>
        <w:t xml:space="preserve">performance analytics system that is the subject of this project. Following the design-science frame</w:t>
      </w:r>
      <w:r>
        <w:t xml:space="preserve"> </w:t>
      </w:r>
      <w:r>
        <w:t xml:space="preserve">adopted in Chapter 3 (Hevner</w:t>
      </w:r>
      <w:r>
        <w:t xml:space="preserve"> </w:t>
      </w:r>
      <w:r>
        <w:rPr>
          <w:i/>
          <w:iCs/>
        </w:rPr>
        <w:t xml:space="preserve">et al.</w:t>
      </w:r>
      <w:r>
        <w:t xml:space="preserve">, 2004; Peffers</w:t>
      </w:r>
      <w:r>
        <w:t xml:space="preserve"> </w:t>
      </w:r>
      <w:r>
        <w:rPr>
          <w:i/>
          <w:iCs/>
        </w:rPr>
        <w:t xml:space="preserve">et al.</w:t>
      </w:r>
      <w:r>
        <w:t xml:space="preserve">, 2007), the</w:t>
      </w:r>
      <w:r>
        <w:t xml:space="preserve"> </w:t>
      </w:r>
      <w:r>
        <w:t xml:space="preserve">“data”</w:t>
      </w:r>
      <w:r>
        <w:t xml:space="preserve"> </w:t>
      </w:r>
      <w:r>
        <w:t xml:space="preserve">analysed here are</w:t>
      </w:r>
      <w:r>
        <w:t xml:space="preserve"> </w:t>
      </w:r>
      <w:r>
        <w:t xml:space="preserve">not the opinions of human participants but the</w:t>
      </w:r>
      <w:r>
        <w:t xml:space="preserve"> </w:t>
      </w:r>
      <w:r>
        <w:rPr>
          <w:b/>
          <w:bCs/>
        </w:rPr>
        <w:t xml:space="preserve">engineering artefacts</w:t>
      </w:r>
      <w:r>
        <w:t xml:space="preserve"> </w:t>
      </w:r>
      <w:r>
        <w:t xml:space="preserve">that constitute the system:</w:t>
      </w:r>
      <w:r>
        <w:t xml:space="preserve"> </w:t>
      </w:r>
      <w:r>
        <w:t xml:space="preserve">its requirements, its architecture, its data model, its process models and its role-secured REST API,</w:t>
      </w:r>
      <w:r>
        <w:t xml:space="preserve"> </w:t>
      </w:r>
      <w:r>
        <w:t xml:space="preserve">together with the evidence that each requirement was realised in working, tested code. No surveys or</w:t>
      </w:r>
      <w:r>
        <w:t xml:space="preserve"> </w:t>
      </w:r>
      <w:r>
        <w:t xml:space="preserve">interviews were conducted; the system itself, and the chain that links a requirement to the code that</w:t>
      </w:r>
      <w:r>
        <w:t xml:space="preserve"> </w:t>
      </w:r>
      <w:r>
        <w:t xml:space="preserve">satisfies it, are the units of analysis. The analytical pathway applied consistently to each of the</w:t>
      </w:r>
      <w:r>
        <w:t xml:space="preserve"> </w:t>
      </w:r>
      <w:r>
        <w:t xml:space="preserve">six core processes is</w:t>
      </w:r>
      <w:r>
        <w:t xml:space="preserve"> </w:t>
      </w:r>
      <w:r>
        <w:rPr>
          <w:b/>
          <w:bCs/>
        </w:rPr>
        <w:t xml:space="preserve">requirement → design decision → architecture module → database entity → API</w:t>
      </w:r>
      <w:r>
        <w:rPr>
          <w:b/>
          <w:bCs/>
        </w:rPr>
        <w:t xml:space="preserve"> </w:t>
      </w:r>
      <w:r>
        <w:rPr>
          <w:b/>
          <w:bCs/>
        </w:rPr>
        <w:t xml:space="preserve">endpoint → validation evidence</w:t>
      </w:r>
      <w:r>
        <w:t xml:space="preserve">, operationalised through the traceability matrices introduced in</w:t>
      </w:r>
      <w:r>
        <w:t xml:space="preserve"> </w:t>
      </w:r>
      <w:r>
        <w:t xml:space="preserve">§4.2 and evidenced in Appendix K.</w:t>
      </w:r>
    </w:p>
    <w:bookmarkStart w:id="67" w:name="primary-artefacts"/>
    <w:p>
      <w:pPr>
        <w:pStyle w:val="Heading3"/>
      </w:pPr>
      <w:r>
        <w:t xml:space="preserve">4.1.1 Primary Artefacts</w:t>
      </w:r>
    </w:p>
    <w:p>
      <w:pPr>
        <w:pStyle w:val="FirstParagraph"/>
      </w:pPr>
      <w:r>
        <w:t xml:space="preserve">The primary artefacts are the built system and the design models that specify it. They comprise: the</w:t>
      </w:r>
      <w:r>
        <w:t xml:space="preserve"> </w:t>
      </w:r>
      <w:r>
        <w:t xml:space="preserve">working full-stack prototype itself — a Next.js/React/TypeScript frontend, a Java Spring Boot backend</w:t>
      </w:r>
      <w:r>
        <w:t xml:space="preserve"> </w:t>
      </w:r>
      <w:r>
        <w:t xml:space="preserve">and a PostgreSQL database; a set of</w:t>
      </w:r>
      <w:r>
        <w:t xml:space="preserve"> </w:t>
      </w:r>
      <w:r>
        <w:rPr>
          <w:b/>
          <w:bCs/>
        </w:rPr>
        <w:t xml:space="preserve">C4 architecture diagrams</w:t>
      </w:r>
      <w:r>
        <w:t xml:space="preserve"> </w:t>
      </w:r>
      <w:r>
        <w:t xml:space="preserve">describing the system at four levels</w:t>
      </w:r>
      <w:r>
        <w:t xml:space="preserve"> </w:t>
      </w:r>
      <w:r>
        <w:t xml:space="preserve">of abstraction; an</w:t>
      </w:r>
      <w:r>
        <w:t xml:space="preserve"> </w:t>
      </w:r>
      <w:r>
        <w:rPr>
          <w:b/>
          <w:bCs/>
        </w:rPr>
        <w:t xml:space="preserve">entity-relationship diagram (ERD)</w:t>
      </w:r>
      <w:r>
        <w:t xml:space="preserve"> </w:t>
      </w:r>
      <w:r>
        <w:t xml:space="preserve">for the relational schema, owned by Liquibase</w:t>
      </w:r>
      <w:r>
        <w:t xml:space="preserve"> </w:t>
      </w:r>
      <w:r>
        <w:t xml:space="preserve">changelogs (</w:t>
      </w:r>
      <w:r>
        <w:rPr>
          <w:rStyle w:val="VerbatimChar"/>
        </w:rPr>
        <w:t xml:space="preserve">backend/src/main/resources/db/changelog/</w:t>
      </w:r>
      <w:r>
        <w:t xml:space="preserve">);</w:t>
      </w:r>
      <w:r>
        <w:t xml:space="preserve"> </w:t>
      </w:r>
      <w:r>
        <w:rPr>
          <w:b/>
          <w:bCs/>
        </w:rPr>
        <w:t xml:space="preserve">six process models (drawn in BPMN 2.0</w:t>
      </w:r>
      <w:r>
        <w:t xml:space="preserve">;</w:t>
      </w:r>
      <w:r>
        <w:t xml:space="preserve"> </w:t>
      </w:r>
      <w:r>
        <w:t xml:space="preserve">OMG, 2011) describing the core workflows, prepared for export in bpmn.io and approximated as Mermaid</w:t>
      </w:r>
      <w:r>
        <w:t xml:space="preserve"> </w:t>
      </w:r>
      <w:r>
        <w:t xml:space="preserve">flowcharts in this chapter;</w:t>
      </w:r>
      <w:r>
        <w:t xml:space="preserve"> </w:t>
      </w:r>
      <w:r>
        <w:rPr>
          <w:b/>
          <w:bCs/>
        </w:rPr>
        <w:t xml:space="preserve">UML sequence diagrams</w:t>
      </w:r>
      <w:r>
        <w:t xml:space="preserve"> </w:t>
      </w:r>
      <w:r>
        <w:t xml:space="preserve">for the most important interactions; and the</w:t>
      </w:r>
      <w:r>
        <w:t xml:space="preserve"> </w:t>
      </w:r>
      <w:r>
        <w:rPr>
          <w:b/>
          <w:bCs/>
        </w:rPr>
        <w:t xml:space="preserve">REST API specification</w:t>
      </w:r>
      <w:r>
        <w:t xml:space="preserve">, grouped by bounded context. These were derived from the problem domain set</w:t>
      </w:r>
      <w:r>
        <w:t xml:space="preserve"> </w:t>
      </w:r>
      <w:r>
        <w:t xml:space="preserve">out in §1.2, the EduMetric product master document, and the implemented codebase, and were verified</w:t>
      </w:r>
      <w:r>
        <w:t xml:space="preserve"> </w:t>
      </w:r>
      <w:r>
        <w:t xml:space="preserve">against the shipped source so that what is reported matches what was built.</w:t>
      </w:r>
    </w:p>
    <w:bookmarkEnd w:id="67"/>
    <w:bookmarkStart w:id="68" w:name="secondary-sources"/>
    <w:p>
      <w:pPr>
        <w:pStyle w:val="Heading3"/>
      </w:pPr>
      <w:r>
        <w:t xml:space="preserve">4.1.2 Secondary Sources</w:t>
      </w:r>
    </w:p>
    <w:p>
      <w:pPr>
        <w:pStyle w:val="FirstParagraph"/>
      </w:pPr>
      <w:r>
        <w:t xml:space="preserve">Secondary inputs are the supporting documentation against which the design was checked: the backend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(architectural rules, layering, the metrics engine and the API conventions), the</w:t>
      </w:r>
      <w:r>
        <w:t xml:space="preserve"> </w:t>
      </w:r>
      <w:r>
        <w:t xml:space="preserve">Liquibase changelog (the authoritative source of the schema), and the literature reviewed in Chapter 2,</w:t>
      </w:r>
      <w:r>
        <w:t xml:space="preserve"> </w:t>
      </w:r>
      <w:r>
        <w:t xml:space="preserve">which supplied the design criteria — Bass, Clements and Kazman (2012) and Richards and Ford (2020) for</w:t>
      </w:r>
      <w:r>
        <w:t xml:space="preserve"> </w:t>
      </w:r>
      <w:r>
        <w:t xml:space="preserve">architecture, Connolly and Begg (2015) for database design, Richardson and Amundsen (2013) for REST,</w:t>
      </w:r>
      <w:r>
        <w:t xml:space="preserve"> </w:t>
      </w:r>
      <w:r>
        <w:t xml:space="preserve">and Sandhu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(1996) for access control. Comparison of the delivered system against these</w:t>
      </w:r>
      <w:r>
        <w:t xml:space="preserve"> </w:t>
      </w:r>
      <w:r>
        <w:t xml:space="preserve">expectations is carried forward to Chapter 5.</w:t>
      </w:r>
    </w:p>
    <w:bookmarkEnd w:id="68"/>
    <w:bookmarkStart w:id="69" w:name="rationale-for-the-six-core-processes-p5"/>
    <w:p>
      <w:pPr>
        <w:pStyle w:val="Heading3"/>
      </w:pPr>
      <w:r>
        <w:t xml:space="preserve">4.1.3 Rationale for the Six Core Processes (P5)</w:t>
      </w:r>
    </w:p>
    <w:p>
      <w:pPr>
        <w:pStyle w:val="FirstParagraph"/>
      </w:pPr>
      <w:r>
        <w:t xml:space="preserve">Six processes were selected for detailed modelling and traceability:</w:t>
      </w:r>
      <w:r>
        <w:t xml:space="preserve"> </w:t>
      </w:r>
      <w:r>
        <w:rPr>
          <w:b/>
          <w:bCs/>
        </w:rPr>
        <w:t xml:space="preserve">User Authentication, Attendance</w:t>
      </w:r>
      <w:r>
        <w:rPr>
          <w:b/>
          <w:bCs/>
        </w:rPr>
        <w:t xml:space="preserve"> </w:t>
      </w:r>
      <w:r>
        <w:rPr>
          <w:b/>
          <w:bCs/>
        </w:rPr>
        <w:t xml:space="preserve">Management, Student Evaluation, Student Analytics Generation, At-Risk Student Detection and Admin</w:t>
      </w:r>
      <w:r>
        <w:rPr>
          <w:b/>
          <w:bCs/>
        </w:rPr>
        <w:t xml:space="preserve"> </w:t>
      </w:r>
      <w:r>
        <w:rPr>
          <w:b/>
          <w:bCs/>
        </w:rPr>
        <w:t xml:space="preserve">Monitoring.</w:t>
      </w:r>
      <w:r>
        <w:t xml:space="preserve"> </w:t>
      </w:r>
      <w:r>
        <w:t xml:space="preserve">The selection rationale is that these six span the full range of software-engineering</w:t>
      </w:r>
      <w:r>
        <w:t xml:space="preserve"> </w:t>
      </w:r>
      <w:r>
        <w:t xml:space="preserve">contexts present in the system — a security boundary (P1), a high-frequency transactional write with a</w:t>
      </w:r>
      <w:r>
        <w:t xml:space="preserve"> </w:t>
      </w:r>
      <w:r>
        <w:t xml:space="preserve">synchronous side-effect (P2), a multi-input validation-and-scoring workflow (P3), a read-side</w:t>
      </w:r>
      <w:r>
        <w:t xml:space="preserve"> </w:t>
      </w:r>
      <w:r>
        <w:t xml:space="preserve">analytical composition (P4), an exception-driven analytical workflow (P5) and a governance/configuration</w:t>
      </w:r>
      <w:r>
        <w:t xml:space="preserve"> </w:t>
      </w:r>
      <w:r>
        <w:t xml:space="preserve">workflow (P6). Together they exercise authentication, transactional processing, analytical processing</w:t>
      </w:r>
      <w:r>
        <w:t xml:space="preserve"> </w:t>
      </w:r>
      <w:r>
        <w:t xml:space="preserve">and administrative governance, providing sufficient breadth to specify and verify the system without</w:t>
      </w:r>
      <w:r>
        <w:t xml:space="preserve"> </w:t>
      </w:r>
      <w:r>
        <w:t xml:space="preserve">modelling every one of the 48 packages, many of which are variations on these archetypes. The processes</w:t>
      </w:r>
      <w:r>
        <w:t xml:space="preserve"> </w:t>
      </w:r>
      <w:r>
        <w:t xml:space="preserve">also map directly onto the core modules named in objective 4 (§1.4): authentication, attendance,</w:t>
      </w:r>
      <w:r>
        <w:t xml:space="preserve"> </w:t>
      </w:r>
      <w:r>
        <w:t xml:space="preserve">evaluation (the metrics engine), student analytics, at-risk detection and admin monitoring.</w:t>
      </w:r>
    </w:p>
    <w:bookmarkEnd w:id="69"/>
    <w:bookmarkEnd w:id="70"/>
    <w:bookmarkStart w:id="71" w:name="analytical-techniques-m3"/>
    <w:p>
      <w:pPr>
        <w:pStyle w:val="Heading2"/>
      </w:pPr>
      <w:r>
        <w:t xml:space="preserve">4.2 Analytical Techniques (M3)</w:t>
      </w:r>
    </w:p>
    <w:p>
      <w:pPr>
        <w:pStyle w:val="FirstParagraph"/>
      </w:pPr>
      <w:r>
        <w:t xml:space="preserve">The principal technique is</w:t>
      </w:r>
      <w:r>
        <w:t xml:space="preserve"> </w:t>
      </w:r>
      <w:r>
        <w:rPr>
          <w:b/>
          <w:bCs/>
        </w:rPr>
        <w:t xml:space="preserve">requirements traceability</w:t>
      </w:r>
      <w:r>
        <w:t xml:space="preserve">: each functional requirement is followed</w:t>
      </w:r>
      <w:r>
        <w:t xml:space="preserve"> </w:t>
      </w:r>
      <w:r>
        <w:t xml:space="preserve">forward through its design decision into a named architecture module, a database entity or field, an</w:t>
      </w:r>
      <w:r>
        <w:t xml:space="preserve"> </w:t>
      </w:r>
      <w:r>
        <w:t xml:space="preserve">API endpoint and a test case, using a structured matrix whose column order is fixed as</w:t>
      </w:r>
      <w:r>
        <w:t xml:space="preserve"> </w:t>
      </w:r>
      <w:r>
        <w:rPr>
          <w:b/>
          <w:bCs/>
        </w:rPr>
        <w:t xml:space="preserve">requirement →</w:t>
      </w:r>
      <w:r>
        <w:rPr>
          <w:b/>
          <w:bCs/>
        </w:rPr>
        <w:t xml:space="preserve"> </w:t>
      </w:r>
      <w:r>
        <w:rPr>
          <w:b/>
          <w:bCs/>
        </w:rPr>
        <w:t xml:space="preserve">architecture module → database entity/field → API endpoint → test evidence</w:t>
      </w:r>
      <w:r>
        <w:t xml:space="preserve"> </w:t>
      </w:r>
      <w:r>
        <w:t xml:space="preserve">(Wiegers and Beatty,</w:t>
      </w:r>
      <w:r>
        <w:t xml:space="preserve"> </w:t>
      </w:r>
      <w:r>
        <w:t xml:space="preserve">2013; Pohl, 2010). This is paired with</w:t>
      </w:r>
      <w:r>
        <w:t xml:space="preserve"> </w:t>
      </w:r>
      <w:r>
        <w:rPr>
          <w:b/>
          <w:bCs/>
        </w:rPr>
        <w:t xml:space="preserve">functional verification</w:t>
      </w:r>
      <w:r>
        <w:t xml:space="preserve">: the traceability links were</w:t>
      </w:r>
      <w:r>
        <w:t xml:space="preserve"> </w:t>
      </w:r>
      <w:r>
        <w:t xml:space="preserve">checked against the shipped code rather than against early design notes, and the</w:t>
      </w:r>
      <w:r>
        <w:t xml:space="preserve"> </w:t>
      </w:r>
      <w:r>
        <w:rPr>
          <w:i/>
          <w:iCs/>
        </w:rPr>
        <w:t xml:space="preserve">implemented</w:t>
      </w:r>
      <w:r>
        <w:t xml:space="preserve"> </w:t>
      </w:r>
      <w:r>
        <w:t xml:space="preserve">value is</w:t>
      </w:r>
      <w:r>
        <w:t xml:space="preserve"> </w:t>
      </w:r>
      <w:r>
        <w:t xml:space="preserve">the one reported. Where an early endpoint name had since changed — for example, the dashboard endpoint</w:t>
      </w:r>
      <w:r>
        <w:t xml:space="preserve"> </w:t>
      </w:r>
      <w:r>
        <w:t xml:space="preserve">moved from a notional</w:t>
      </w:r>
      <w:r>
        <w:t xml:space="preserve"> </w:t>
      </w:r>
      <w:r>
        <w:rPr>
          <w:rStyle w:val="VerbatimChar"/>
        </w:rPr>
        <w:t xml:space="preserve">/api/dashboard/student/{id}</w:t>
      </w:r>
      <w:r>
        <w:t xml:space="preserve"> </w:t>
      </w:r>
      <w:r>
        <w:t xml:space="preserve">to the implemented</w:t>
      </w:r>
      <w:r>
        <w:t xml:space="preserve"> </w:t>
      </w:r>
      <w:r>
        <w:rPr>
          <w:rStyle w:val="VerbatimChar"/>
        </w:rPr>
        <w:t xml:space="preserve">GET /api/students/{id}/dashboard</w:t>
      </w:r>
      <w:r>
        <w:t xml:space="preserve">,</w:t>
      </w:r>
      <w:r>
        <w:t xml:space="preserve"> </w:t>
      </w:r>
      <w:r>
        <w:t xml:space="preserve">and bulk attendance from a notional</w:t>
      </w:r>
      <w:r>
        <w:t xml:space="preserve"> </w:t>
      </w:r>
      <w:r>
        <w:rPr>
          <w:rStyle w:val="VerbatimChar"/>
        </w:rPr>
        <w:t xml:space="preserve">POST /api/attendance</w:t>
      </w:r>
      <w:r>
        <w:t xml:space="preserve"> </w:t>
      </w:r>
      <w:r>
        <w:t xml:space="preserve">to the implemented</w:t>
      </w:r>
      <w:r>
        <w:t xml:space="preserve"> </w:t>
      </w:r>
      <w:r>
        <w:rPr>
          <w:rStyle w:val="VerbatimChar"/>
        </w:rPr>
        <w:t xml:space="preserve">POST /api/attendance/bulk</w:t>
      </w:r>
      <w:r>
        <w:t xml:space="preserve"> </w:t>
      </w:r>
      <w:r>
        <w:t xml:space="preserve">— the reconciliation is treated as evidence that traceability functioned as intended, surfacing</w:t>
      </w:r>
      <w:r>
        <w:t xml:space="preserve"> </w:t>
      </w:r>
      <w:r>
        <w:t xml:space="preserve">design–code drift so it could be corrected (risks R03, R07, R10). The process models, the C4 diagrams,</w:t>
      </w:r>
      <w:r>
        <w:t xml:space="preserve"> </w:t>
      </w:r>
      <w:r>
        <w:t xml:space="preserve">the ERD and the UML sequences are the design notations that feed this matrix; the BPMN 2.0 notation was</w:t>
      </w:r>
      <w:r>
        <w:t xml:space="preserve"> </w:t>
      </w:r>
      <w:r>
        <w:t xml:space="preserve">chosen specifically to model the six core workflows because it makes gateways and exception paths</w:t>
      </w:r>
      <w:r>
        <w:t xml:space="preserve"> </w:t>
      </w:r>
      <w:r>
        <w:t xml:space="preserve">explicit, which is where requirements are most often lost. The structured instruments used — the</w:t>
      </w:r>
      <w:r>
        <w:t xml:space="preserve"> </w:t>
      </w:r>
      <w:r>
        <w:t xml:space="preserve">modelling checklist, the traceability-matrix template and the test-case template — are provided in</w:t>
      </w:r>
      <w:r>
        <w:t xml:space="preserve"> </w:t>
      </w:r>
      <w:r>
        <w:t xml:space="preserve">Appendix E.</w:t>
      </w:r>
    </w:p>
    <w:bookmarkEnd w:id="71"/>
    <w:bookmarkStart w:id="129" w:name="findings"/>
    <w:p>
      <w:pPr>
        <w:pStyle w:val="Heading2"/>
      </w:pPr>
      <w:r>
        <w:t xml:space="preserve">4.3 Findings</w:t>
      </w:r>
    </w:p>
    <w:bookmarkStart w:id="72" w:name="requirements-and-artefact-inventory"/>
    <w:p>
      <w:pPr>
        <w:pStyle w:val="Heading3"/>
      </w:pPr>
      <w:r>
        <w:t xml:space="preserve">4.3.1 Requirements and Artefact Inventory</w:t>
      </w:r>
    </w:p>
    <w:p>
      <w:pPr>
        <w:pStyle w:val="FirstParagraph"/>
      </w:pPr>
      <w:r>
        <w:t xml:space="preserve">The system’s functional requirements follow directly from the problems set out in §1.2: a transparent</w:t>
      </w:r>
      <w:r>
        <w:t xml:space="preserve"> </w:t>
      </w:r>
      <w:r>
        <w:t xml:space="preserve">multi-dimensional composite score in place of a single GPA (FR1); attendance capture with an immediate</w:t>
      </w:r>
      <w:r>
        <w:t xml:space="preserve"> </w:t>
      </w:r>
      <w:r>
        <w:t xml:space="preserve">effect on the score (FR2); recording of grades, behaviour and activity (FR3); per-student analytics —</w:t>
      </w:r>
      <w:r>
        <w:t xml:space="preserve"> </w:t>
      </w:r>
      <w:r>
        <w:t xml:space="preserve">composite, dimension breakdown, growth trend (FR4); configurable at-risk detection (FR5); and</w:t>
      </w:r>
      <w:r>
        <w:t xml:space="preserve"> </w:t>
      </w:r>
      <w:r>
        <w:t xml:space="preserve">role-secured administration and formula configuration (FR6). The non-functional requirements are</w:t>
      </w:r>
      <w:r>
        <w:t xml:space="preserve"> </w:t>
      </w:r>
      <w:r>
        <w:t xml:space="preserve">transparency and auditability of scoring (NFR1), role-based confidentiality of student data (NFR2),</w:t>
      </w:r>
      <w:r>
        <w:t xml:space="preserve"> </w:t>
      </w:r>
      <w:r>
        <w:t xml:space="preserve">responsiveness of analytical reads (NFR3) and maintainability through a modular structure (NFR4). These</w:t>
      </w:r>
      <w:r>
        <w:t xml:space="preserve"> </w:t>
      </w:r>
      <w:r>
        <w:t xml:space="preserve">requirements are realised across the implemented population profiled below: EduMetric is a modular</w:t>
      </w:r>
      <w:r>
        <w:t xml:space="preserve"> </w:t>
      </w:r>
      <w:r>
        <w:t xml:space="preserve">monolith of</w:t>
      </w:r>
      <w:r>
        <w:t xml:space="preserve"> </w:t>
      </w:r>
      <w:r>
        <w:rPr>
          <w:b/>
          <w:bCs/>
        </w:rPr>
        <w:t xml:space="preserve">48 vertical-slice packages</w:t>
      </w:r>
      <w:r>
        <w:t xml:space="preserve">,</w:t>
      </w:r>
      <w:r>
        <w:t xml:space="preserve"> </w:t>
      </w:r>
      <w:r>
        <w:rPr>
          <w:b/>
          <w:bCs/>
        </w:rPr>
        <w:t xml:space="preserve">60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@Entity</w:t>
      </w:r>
      <w:r>
        <w:rPr>
          <w:b/>
          <w:bCs/>
        </w:rPr>
        <w:t xml:space="preserve"> </w:t>
      </w:r>
      <w:r>
        <w:rPr>
          <w:b/>
          <w:bCs/>
        </w:rPr>
        <w:t xml:space="preserve">classes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52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@RestController</w:t>
      </w:r>
      <w:r>
        <w:rPr>
          <w:b/>
          <w:bCs/>
        </w:rPr>
        <w:t xml:space="preserve"> </w:t>
      </w:r>
      <w:r>
        <w:rPr>
          <w:b/>
          <w:bCs/>
        </w:rPr>
        <w:t xml:space="preserve">classes</w:t>
      </w:r>
      <w:r>
        <w:t xml:space="preserve"> </w:t>
      </w:r>
      <w:r>
        <w:t xml:space="preserve">(verified by inspection of the backend source). The system’s structure is summarised in Table</w:t>
      </w:r>
      <w:r>
        <w:t xml:space="preserve"> </w:t>
      </w:r>
      <w:r>
        <w:t xml:space="preserve">4.0 and visualised at four levels of abstraction in Figures 4.1–4.4; its data model is given as the</w:t>
      </w:r>
      <w:r>
        <w:t xml:space="preserve"> </w:t>
      </w:r>
      <w:r>
        <w:t xml:space="preserve">entity-relationship diagram in Figure 4.5.</w:t>
      </w:r>
    </w:p>
    <w:p>
      <w:pPr>
        <w:pStyle w:val="BodyText"/>
      </w:pPr>
      <w:r>
        <w:rPr>
          <w:b/>
          <w:bCs/>
        </w:rPr>
        <w:t xml:space="preserve">Table 4.0 — Artefact inventory of EduMetric CRM.</w:t>
      </w:r>
      <w:r>
        <w:t xml:space="preserve"> </w:t>
      </w:r>
      <w:r>
        <w:rPr>
          <w:i/>
          <w:iCs/>
        </w:rPr>
        <w:t xml:space="preserve">(Source: author,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backend/</w:t>
      </w:r>
      <w:r>
        <w:rPr>
          <w:i/>
          <w:iCs/>
        </w:rPr>
        <w:t xml:space="preserve"> </w:t>
      </w:r>
      <w:r>
        <w:rPr>
          <w:i/>
          <w:iCs/>
        </w:rPr>
        <w:t xml:space="preserve">source inspection.)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Artefact class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Count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packages (bounded contexts)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com.edumetric.backend.*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@Entity</w:t>
            </w:r>
            <w:r>
              <w:t xml:space="preserve"> </w:t>
            </w:r>
            <w:r>
              <w:t xml:space="preserve">classes (DB-backed)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@Entity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@RestController</w:t>
            </w:r>
            <w:r>
              <w:t xml:space="preserve"> </w:t>
            </w:r>
            <w: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@RestController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Liquibase changelog domains</w:t>
            </w:r>
          </w:p>
        </w:tc>
        <w:tc>
          <w:tcPr/>
          <w:p>
            <w:pPr>
              <w:pStyle w:val="Compact"/>
            </w:pPr>
            <w:r>
              <w:t xml:space="preserve">4 (</w:t>
            </w:r>
            <w:r>
              <w:rPr>
                <w:rStyle w:val="VerbatimChar"/>
              </w:rPr>
              <w:t xml:space="preserve">v1-core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v2-domain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v3-metrics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v4-audit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db/changelog/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Composite-score dimensions</w:t>
            </w:r>
          </w:p>
        </w:tc>
        <w:tc>
          <w:tcPr/>
          <w:p>
            <w:pPr>
              <w:pStyle w:val="Compact"/>
            </w:pPr>
            <w:r>
              <w:t xml:space="preserve">7 (weights sum to 1.0)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formula_config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ARCHITECTURE.md</w:t>
            </w:r>
            <w:r>
              <w:t xml:space="preserve"> </w:t>
            </w:r>
            <w:r>
              <w:t xml:space="preserve">§6</w:t>
            </w:r>
          </w:p>
        </w:tc>
      </w:tr>
    </w:tbl>
    <w:p>
      <w:pPr>
        <w:pStyle w:val="BodyText"/>
      </w:pPr>
      <w:r>
        <w:t xml:space="preserve">An anonymised extract of the analytics data used to validate the dimension scoring and at-risk logic is</w:t>
      </w:r>
      <w:r>
        <w:t xml:space="preserve"> </w:t>
      </w:r>
      <w:r>
        <w:t xml:space="preserve">provided in Appendix F.</w:t>
      </w:r>
    </w:p>
    <w:bookmarkEnd w:id="72"/>
    <w:bookmarkStart w:id="85" w:name="system-architecture"/>
    <w:p>
      <w:pPr>
        <w:pStyle w:val="Heading3"/>
      </w:pPr>
      <w:r>
        <w:t xml:space="preserve">4.3.2 System Architecture</w:t>
      </w:r>
    </w:p>
    <w:p>
      <w:pPr>
        <w:pStyle w:val="FirstParagraph"/>
      </w:pPr>
      <w:r>
        <w:t xml:space="preserve">EduMetric is structured as a</w:t>
      </w:r>
      <w:r>
        <w:t xml:space="preserve"> </w:t>
      </w:r>
      <w:r>
        <w:rPr>
          <w:b/>
          <w:bCs/>
        </w:rPr>
        <w:t xml:space="preserve">three-tier modular monolith</w:t>
      </w:r>
      <w:r>
        <w:t xml:space="preserve">: a presentation tier (the Next.js client),</w:t>
      </w:r>
      <w:r>
        <w:t xml:space="preserve"> </w:t>
      </w:r>
      <w:r>
        <w:t xml:space="preserve">an application tier (the Spring Boot API, internally decomposed by bounded context) and a data tier</w:t>
      </w:r>
      <w:r>
        <w:t xml:space="preserve"> </w:t>
      </w:r>
      <w:r>
        <w:t xml:space="preserve">(PostgreSQL, with Redis as a read-through analytics cache and MinIO for files). This architectural</w:t>
      </w:r>
      <w:r>
        <w:t xml:space="preserve"> </w:t>
      </w:r>
      <w:r>
        <w:t xml:space="preserve">style was a deliberate design decision rather than a default. The alternative — a microservices</w:t>
      </w:r>
      <w:r>
        <w:t xml:space="preserve"> </w:t>
      </w:r>
      <w:r>
        <w:t xml:space="preserve">deployment — was considered and rejected: for a single-institution system with a team of one,</w:t>
      </w:r>
      <w:r>
        <w:t xml:space="preserve"> </w:t>
      </w:r>
      <w:r>
        <w:t xml:space="preserve">fine-grained services would add network, deployment and data-consistency overhead disproportionate to</w:t>
      </w:r>
      <w:r>
        <w:t xml:space="preserve"> </w:t>
      </w:r>
      <w:r>
        <w:t xml:space="preserve">the benefit (Newman, 2015), whereas a well-modularised monolith retains clear internal boundaries while</w:t>
      </w:r>
      <w:r>
        <w:t xml:space="preserve"> </w:t>
      </w:r>
      <w:r>
        <w:t xml:space="preserve">remaining simple to deploy and reason about (Richards and Ford, 2020; Fowler, 2002). The requirement</w:t>
      </w:r>
      <w:r>
        <w:t xml:space="preserve"> </w:t>
      </w:r>
      <w:r>
        <w:t xml:space="preserve">that drove the choice is maintainability (NFR4) under solo development; the design decision was a</w:t>
      </w:r>
      <w:r>
        <w:t xml:space="preserve"> </w:t>
      </w:r>
      <w:r>
        <w:t xml:space="preserve">modular monolith partitioned by feature; the consequence is that each of the 48 packages is an</w:t>
      </w:r>
      <w:r>
        <w:t xml:space="preserve"> </w:t>
      </w:r>
      <w:r>
        <w:t xml:space="preserve">independently understandable bounded context with a controller–service–repository–entity layering</w:t>
      </w:r>
      <w:r>
        <w:t xml:space="preserve"> </w:t>
      </w:r>
      <w:r>
        <w:t xml:space="preserve">(Bass</w:t>
      </w:r>
      <w:r>
        <w:t xml:space="preserve"> </w:t>
      </w:r>
      <w:r>
        <w:rPr>
          <w:i/>
          <w:iCs/>
        </w:rPr>
        <w:t xml:space="preserve">et al.</w:t>
      </w:r>
      <w:r>
        <w:t xml:space="preserve">, 2012). The system is presented at four levels in line with the C4 convention: system</w:t>
      </w:r>
      <w:r>
        <w:t xml:space="preserve"> </w:t>
      </w:r>
      <w:r>
        <w:t xml:space="preserve">context in Figure 4.1, containers in Figure 4.2, the component/module map in Figure 4.3 and deployment</w:t>
      </w:r>
      <w:r>
        <w:t xml:space="preserve"> </w:t>
      </w:r>
      <w:r>
        <w:t xml:space="preserve">in Figure 4.4.</w:t>
      </w:r>
    </w:p>
    <w:p>
      <w:pPr>
        <w:pStyle w:val="BodyText"/>
        <w:jc w:val="center"/>
      </w:pPr>
      <w:r>
        <w:drawing>
          <wp:inline>
            <wp:extent cx="5334000" cy="3389981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_assets/figure-4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9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4.1 — C4 Level 1: System context.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author, derived from</w:t>
      </w:r>
      <w:r>
        <w:rPr>
          <w:i/>
          <w:iCs/>
          <w:color w:val="404040"/>
          <w:sz w:val="19"/>
        </w:rPr>
        <w:t xml:space="preserve"> </w:t>
      </w:r>
      <w:r>
        <w:rPr>
          <w:rStyle w:val="VerbatimChar"/>
          <w:i/>
          <w:iCs/>
          <w:color w:val="404040"/>
          <w:sz w:val="19"/>
        </w:rPr>
        <w:t xml:space="preserve">ARCHITECTURE.md</w:t>
      </w:r>
      <w:r>
        <w:rPr>
          <w:i/>
          <w:iCs/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§2.)</w:t>
      </w:r>
    </w:p>
    <w:p>
      <w:pPr>
        <w:pStyle w:val="BodyText"/>
        <w:jc w:val="center"/>
      </w:pPr>
      <w:r>
        <w:drawing>
          <wp:inline>
            <wp:extent cx="5334000" cy="6011333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_assets/figure-4-2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1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4.2 — C4 Level 2: Container diagram.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author, derived from</w:t>
      </w:r>
      <w:r>
        <w:rPr>
          <w:i/>
          <w:iCs/>
          <w:color w:val="404040"/>
          <w:sz w:val="19"/>
        </w:rPr>
        <w:t xml:space="preserve"> </w:t>
      </w:r>
      <w:r>
        <w:rPr>
          <w:rStyle w:val="VerbatimChar"/>
          <w:i/>
          <w:iCs/>
          <w:color w:val="404040"/>
          <w:sz w:val="19"/>
        </w:rPr>
        <w:t xml:space="preserve">ARCHITECTURE.md</w:t>
      </w:r>
      <w:r>
        <w:rPr>
          <w:i/>
          <w:iCs/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§2, §10.)</w:t>
      </w:r>
    </w:p>
    <w:p>
      <w:pPr>
        <w:pStyle w:val="BodyText"/>
      </w:pPr>
      <w:r>
        <w:t xml:space="preserve">The component map groups the 48 packages into eight bounded contexts — Identity &amp; Access, People &amp;</w:t>
      </w:r>
      <w:r>
        <w:t xml:space="preserve"> </w:t>
      </w:r>
      <w:r>
        <w:t xml:space="preserve">Organisation, Academic Structure, Assessment &amp; Records, Attendance, Analytics &amp; Metrics, Communication</w:t>
      </w:r>
      <w:r>
        <w:t xml:space="preserve"> </w:t>
      </w:r>
      <w:r>
        <w:t xml:space="preserve">and Governance — with the data-flow spine running Assessment/Attendance →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atrisk</w:t>
      </w:r>
      <w:r>
        <w:t xml:space="preserve"> </w:t>
      </w:r>
      <w:r>
        <w:t xml:space="preserve">→ Communication.</w:t>
      </w:r>
    </w:p>
    <w:p>
      <w:pPr>
        <w:pStyle w:val="BodyText"/>
        <w:jc w:val="center"/>
      </w:pPr>
      <w:r>
        <w:drawing>
          <wp:inline>
            <wp:extent cx="3694176" cy="6673194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_assets/figure-4-3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176" cy="6673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4.3 — Component / module map (bounded contexts).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author.)</w:t>
      </w:r>
    </w:p>
    <w:p>
      <w:pPr>
        <w:pStyle w:val="BodyText"/>
      </w:pPr>
      <w:r>
        <w:t xml:space="preserve">All runtimes — nginx, Next.js, Spring Boot, PostgreSQL, Redis and MinIO — run as containers from a</w:t>
      </w:r>
      <w:r>
        <w:t xml:space="preserve"> </w:t>
      </w:r>
      <w:r>
        <w:t xml:space="preserve">single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on one VPS, with nginx routing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to Next.js and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to Spring Boot.</w:t>
      </w:r>
    </w:p>
    <w:p>
      <w:pPr>
        <w:pStyle w:val="BodyText"/>
        <w:jc w:val="center"/>
      </w:pPr>
      <w:r>
        <w:drawing>
          <wp:inline>
            <wp:extent cx="5334000" cy="5033818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_assets/figure-4-4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33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4.4 — Deployment diagram (single VPS / docker-compose).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author, derived from</w:t>
      </w:r>
      <w:r>
        <w:rPr>
          <w:i/>
          <w:iCs/>
          <w:color w:val="404040"/>
          <w:sz w:val="19"/>
        </w:rPr>
        <w:t xml:space="preserve"> </w:t>
      </w:r>
      <w:r>
        <w:rPr>
          <w:rStyle w:val="VerbatimChar"/>
          <w:i/>
          <w:iCs/>
          <w:color w:val="404040"/>
          <w:sz w:val="19"/>
        </w:rPr>
        <w:t xml:space="preserve">ARCHITECTURE.md</w:t>
      </w:r>
      <w:r>
        <w:rPr>
          <w:i/>
          <w:iCs/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§2, §10.)</w:t>
      </w:r>
    </w:p>
    <w:bookmarkEnd w:id="85"/>
    <w:bookmarkStart w:id="89" w:name="database-design"/>
    <w:p>
      <w:pPr>
        <w:pStyle w:val="Heading3"/>
      </w:pPr>
      <w:r>
        <w:t xml:space="preserve">4.3.3 Database Design</w:t>
      </w:r>
    </w:p>
    <w:p>
      <w:pPr>
        <w:pStyle w:val="FirstParagraph"/>
      </w:pPr>
      <w:r>
        <w:t xml:space="preserve">The relational schema realises the data requirements directly. It was designed following established</w:t>
      </w:r>
      <w:r>
        <w:t xml:space="preserve"> </w:t>
      </w:r>
      <w:r>
        <w:t xml:space="preserve">relational-modelling practice — normalisation to remove redundancy, foreign keys to enforce referential</w:t>
      </w:r>
      <w:r>
        <w:t xml:space="preserve"> </w:t>
      </w:r>
      <w:r>
        <w:t xml:space="preserve">integrity, and constraints to encode domain rules (Connolly and Begg, 2015; Teorey</w:t>
      </w:r>
      <w:r>
        <w:t xml:space="preserve"> </w:t>
      </w:r>
      <w:r>
        <w:rPr>
          <w:i/>
          <w:iCs/>
        </w:rPr>
        <w:t xml:space="preserve">et al.</w:t>
      </w:r>
      <w:r>
        <w:t xml:space="preserve">, 2011) —</w:t>
      </w:r>
      <w:r>
        <w:t xml:space="preserve"> </w:t>
      </w:r>
      <w:r>
        <w:t xml:space="preserve">and is owned end-to-end by the Liquibase changelog, with Hibernate set to</w:t>
      </w:r>
      <w:r>
        <w:t xml:space="preserve"> </w:t>
      </w:r>
      <w:r>
        <w:rPr>
          <w:rStyle w:val="VerbatimChar"/>
        </w:rPr>
        <w:t xml:space="preserve">ddl-auto: validate</w:t>
      </w:r>
      <w:r>
        <w:t xml:space="preserve"> </w:t>
      </w:r>
      <w:r>
        <w:t xml:space="preserve">so the</w:t>
      </w:r>
      <w:r>
        <w:t xml:space="preserve"> </w:t>
      </w:r>
      <w:r>
        <w:t xml:space="preserve">ORM never alters the schema. The core schema is shown clustered by sub-domain in Figure 4.5. Two design</w:t>
      </w:r>
      <w:r>
        <w:t xml:space="preserve"> </w:t>
      </w:r>
      <w:r>
        <w:t xml:space="preserve">decisions in the analytics layer are load-bearing and are explained here because they recur throughout</w:t>
      </w:r>
      <w:r>
        <w:t xml:space="preserve"> </w:t>
      </w:r>
      <w:r>
        <w:t xml:space="preserve">§4.3.4. First, a</w:t>
      </w:r>
      <w:r>
        <w:t xml:space="preserve"> </w:t>
      </w:r>
      <w:r>
        <w:rPr>
          <w:b/>
          <w:bCs/>
        </w:rPr>
        <w:t xml:space="preserve">denormalised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student_metrics</w:t>
      </w:r>
      <w:r>
        <w:rPr>
          <w:b/>
          <w:bCs/>
        </w:rPr>
        <w:t xml:space="preserve"> </w:t>
      </w:r>
      <w:r>
        <w:rPr>
          <w:b/>
          <w:bCs/>
        </w:rPr>
        <w:t xml:space="preserve">cache</w:t>
      </w:r>
      <w:r>
        <w:t xml:space="preserve"> </w:t>
      </w:r>
      <w:r>
        <w:t xml:space="preserve">holds one current row per student</w:t>
      </w:r>
      <w:r>
        <w:t xml:space="preserve"> </w:t>
      </w:r>
      <w:r>
        <w:t xml:space="preserve">(</w:t>
      </w:r>
      <w:r>
        <w:rPr>
          <w:rStyle w:val="VerbatimChar"/>
        </w:rPr>
        <w:t xml:space="preserve">UNIQUE (student_id)</w:t>
      </w:r>
      <w:r>
        <w:t xml:space="preserve">) so that an analytical read need not recompute from raw tables, while a separate</w:t>
      </w:r>
      <w:r>
        <w:t xml:space="preserve"> </w:t>
      </w:r>
      <w:r>
        <w:rPr>
          <w:rStyle w:val="VerbatimChar"/>
          <w:b/>
          <w:bCs/>
        </w:rPr>
        <w:t xml:space="preserve">metric_snapshots</w:t>
      </w:r>
      <w:r>
        <w:t xml:space="preserve"> </w:t>
      </w:r>
      <w:r>
        <w:t xml:space="preserve">table holds the weekly history (</w:t>
      </w:r>
      <w:r>
        <w:rPr>
          <w:rStyle w:val="VerbatimChar"/>
        </w:rPr>
        <w:t xml:space="preserve">UNIQUE (student_id, snapshot_date)</w:t>
      </w:r>
      <w:r>
        <w:t xml:space="preserve">) that feeds</w:t>
      </w:r>
      <w:r>
        <w:t xml:space="preserve"> </w:t>
      </w:r>
      <w:r>
        <w:t xml:space="preserve">the growth trend and growth bonus; separating the current read model from the immutable history keeps</w:t>
      </w:r>
      <w:r>
        <w:t xml:space="preserve"> </w:t>
      </w:r>
      <w:r>
        <w:t xml:space="preserve">fast reads independent of historical accumulation. Second, the integrity strategy is deliberately</w:t>
      </w:r>
      <w:r>
        <w:t xml:space="preserve"> </w:t>
      </w:r>
      <w:r>
        <w:t xml:space="preserve">split: mutable reference data (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teachers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) uses</w:t>
      </w:r>
      <w:r>
        <w:t xml:space="preserve"> </w:t>
      </w:r>
      <w:r>
        <w:rPr>
          <w:b/>
          <w:bCs/>
        </w:rPr>
        <w:t xml:space="preserve">soft-delete</w:t>
      </w:r>
      <w:r>
        <w:t xml:space="preserve"> </w:t>
      </w:r>
      <w:r>
        <w:t xml:space="preserve">so that references and audit trails survive, whereas</w:t>
      </w:r>
      <w:r>
        <w:t xml:space="preserve"> </w:t>
      </w:r>
      <w:r>
        <w:rPr>
          <w:b/>
          <w:bCs/>
        </w:rPr>
        <w:t xml:space="preserve">immutable history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attendance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behavior_records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activity_records</w:t>
      </w:r>
      <w:r>
        <w:t xml:space="preserve">) is</w:t>
      </w:r>
      <w:r>
        <w:t xml:space="preserve"> </w:t>
      </w:r>
      <w:r>
        <w:rPr>
          <w:b/>
          <w:bCs/>
        </w:rPr>
        <w:t xml:space="preserve">hard-deleted</w:t>
      </w:r>
      <w:r>
        <w:t xml:space="preserve"> </w:t>
      </w:r>
      <w:r>
        <w:t xml:space="preserve">when genuinely removed, because a soft-delete</w:t>
      </w:r>
      <w:r>
        <w:t xml:space="preserve"> </w:t>
      </w:r>
      <w:r>
        <w:t xml:space="preserve">flag on an append-only record adds no value and complicates the recompute query.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constraints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(student_id, lesson_id)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(student_id, assignment_id)</w:t>
      </w:r>
      <w:r>
        <w:t xml:space="preserve"> </w:t>
      </w:r>
      <w:r>
        <w:t xml:space="preserve">prevent duplicate attendance and grades,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constraints bound the enum-like and value-range columns.</w:t>
      </w:r>
    </w:p>
    <w:p>
      <w:pPr>
        <w:pStyle w:val="BodyText"/>
        <w:jc w:val="center"/>
      </w:pPr>
      <w:r>
        <w:drawing>
          <wp:inline>
            <wp:extent cx="5334000" cy="1943142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_assets/figure-4-5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3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4.5 — Entity-Relationship Diagram (core schema, clustered by sub-domain).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author, derived from the Liquibase changelog and</w:t>
      </w:r>
      <w:r>
        <w:rPr>
          <w:i/>
          <w:iCs/>
          <w:color w:val="404040"/>
          <w:sz w:val="19"/>
        </w:rPr>
        <w:t xml:space="preserve"> </w:t>
      </w:r>
      <w:r>
        <w:rPr>
          <w:rStyle w:val="VerbatimChar"/>
          <w:i/>
          <w:iCs/>
          <w:color w:val="404040"/>
          <w:sz w:val="19"/>
        </w:rPr>
        <w:t xml:space="preserve">ARCHITECTURE.md</w:t>
      </w:r>
      <w:r>
        <w:rPr>
          <w:i/>
          <w:iCs/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§7.)</w:t>
      </w:r>
    </w:p>
    <w:bookmarkEnd w:id="89"/>
    <w:bookmarkStart w:id="114" w:name="the-six-core-processes-p1p6"/>
    <w:p>
      <w:pPr>
        <w:pStyle w:val="Heading3"/>
      </w:pPr>
      <w:r>
        <w:t xml:space="preserve">4.3.4 The Six Core Processes (P1–P6)</w:t>
      </w:r>
    </w:p>
    <w:p>
      <w:pPr>
        <w:pStyle w:val="FirstParagraph"/>
      </w:pPr>
      <w:r>
        <w:t xml:space="preserve">The six core workflows were modelled in BPMN 2.0 because the notation makes participants, gateways and</w:t>
      </w:r>
      <w:r>
        <w:t xml:space="preserve"> </w:t>
      </w:r>
      <w:r>
        <w:t xml:space="preserve">exception paths explicit, and each model is reported below with a short design narrative and its</w:t>
      </w:r>
      <w:r>
        <w:t xml:space="preserve"> </w:t>
      </w:r>
      <w:r>
        <w:t xml:space="preserve">traceability matrix. The decisive engineering decisions are stated as</w:t>
      </w:r>
      <w:r>
        <w:t xml:space="preserve"> </w:t>
      </w:r>
      <w:r>
        <w:rPr>
          <w:b/>
          <w:bCs/>
        </w:rPr>
        <w:t xml:space="preserve">requirement → design decision →</w:t>
      </w:r>
      <w:r>
        <w:rPr>
          <w:b/>
          <w:bCs/>
        </w:rPr>
        <w:t xml:space="preserve"> </w:t>
      </w:r>
      <w:r>
        <w:rPr>
          <w:b/>
          <w:bCs/>
        </w:rPr>
        <w:t xml:space="preserve">rationale</w:t>
      </w:r>
      <w:r>
        <w:t xml:space="preserve"> </w:t>
      </w:r>
      <w:r>
        <w:t xml:space="preserve">so the link between intent and code is auditable.</w:t>
      </w:r>
    </w:p>
    <w:bookmarkStart w:id="93" w:name="p1-user-authentication"/>
    <w:p>
      <w:pPr>
        <w:pStyle w:val="Heading4"/>
      </w:pPr>
      <w:r>
        <w:t xml:space="preserve">P1 — User Authentication</w:t>
      </w:r>
    </w:p>
    <w:p>
      <w:pPr>
        <w:pStyle w:val="FirstParagraph"/>
      </w:pPr>
      <w:r>
        <w:t xml:space="preserve">The User Authentication process models the login lifecycle from credential submission through JWT</w:t>
      </w:r>
      <w:r>
        <w:t xml:space="preserve"> </w:t>
      </w:r>
      <w:r>
        <w:t xml:space="preserve">issuance and role-based redirection, including failure handling and logout. It is foundational: every</w:t>
      </w:r>
      <w:r>
        <w:t xml:space="preserve"> </w:t>
      </w:r>
      <w:r>
        <w:t xml:space="preserve">other process depends on the authentication state established here, so its specification carries</w:t>
      </w:r>
      <w:r>
        <w:t xml:space="preserve"> </w:t>
      </w:r>
      <w:r>
        <w:t xml:space="preserve">disproportionate weight. Three design decisions follow from the requirement for a secure, role-aware</w:t>
      </w:r>
      <w:r>
        <w:t xml:space="preserve"> </w:t>
      </w:r>
      <w:r>
        <w:t xml:space="preserve">boundary. Separating the</w:t>
      </w:r>
      <w:r>
        <w:t xml:space="preserve"> </w:t>
      </w:r>
      <w:r>
        <w:rPr>
          <w:i/>
          <w:iCs/>
        </w:rPr>
        <w:t xml:space="preserve">user</w:t>
      </w:r>
      <w:r>
        <w:t xml:space="preserve">,</w:t>
      </w:r>
      <w:r>
        <w:t xml:space="preserve"> </w:t>
      </w:r>
      <w:r>
        <w:rPr>
          <w:i/>
          <w:iCs/>
        </w:rPr>
        <w:t xml:space="preserve">authentication system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role-routing</w:t>
      </w:r>
      <w:r>
        <w:t xml:space="preserve"> </w:t>
      </w:r>
      <w:r>
        <w:t xml:space="preserve">responsibilities into</w:t>
      </w:r>
      <w:r>
        <w:t xml:space="preserve"> </w:t>
      </w:r>
      <w:r>
        <w:t xml:space="preserve">distinct lanes clarified that JWT issuance and role-based redirection are separate concerns, informing</w:t>
      </w:r>
      <w:r>
        <w:t xml:space="preserve"> </w:t>
      </w:r>
      <w:r>
        <w:t xml:space="preserve">the split between</w:t>
      </w:r>
      <w:r>
        <w:t xml:space="preserve"> </w:t>
      </w:r>
      <w:r>
        <w:rPr>
          <w:rStyle w:val="VerbatimChar"/>
        </w:rPr>
        <w:t xml:space="preserve">AuthService</w:t>
      </w:r>
      <w:r>
        <w:t xml:space="preserve"> </w:t>
      </w:r>
      <w:r>
        <w:t xml:space="preserve">and a role-aware frontend router. The credential-validation gateway made</w:t>
      </w:r>
      <w:r>
        <w:t xml:space="preserve"> </w:t>
      </w:r>
      <w:r>
        <w:t xml:space="preserve">explicit that a failed login must return a</w:t>
      </w:r>
      <w:r>
        <w:t xml:space="preserve"> </w:t>
      </w:r>
      <w:r>
        <w:rPr>
          <w:b/>
          <w:bCs/>
        </w:rPr>
        <w:t xml:space="preserve">standardised</w:t>
      </w:r>
      <w:r>
        <w:t xml:space="preserve"> </w:t>
      </w:r>
      <w:r>
        <w:t xml:space="preserve">error — producing the rule that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returns HTTP 401 with</w:t>
      </w:r>
      <w:r>
        <w:t xml:space="preserve"> </w:t>
      </w:r>
      <w:r>
        <w:rPr>
          <w:rStyle w:val="VerbatimChar"/>
        </w:rPr>
        <w:t xml:space="preserve">AUTH_INVALID_CREDENTIALS</w:t>
      </w:r>
      <w:r>
        <w:t xml:space="preserve"> </w:t>
      </w:r>
      <w:r>
        <w:t xml:space="preserve">rather than a generic 500. And</w:t>
      </w:r>
      <w:r>
        <w:t xml:space="preserve"> </w:t>
      </w:r>
      <w:r>
        <w:t xml:space="preserve">the exception event for a deactivated account — routinely omitted from prose requirements — produced an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check in the security layer. The login interaction is detailed as a sequence in Figure 4.12,</w:t>
      </w:r>
      <w:r>
        <w:t xml:space="preserve"> </w:t>
      </w:r>
      <w:r>
        <w:t xml:space="preserve">and the security boundary it establishes is shown in Figure 4.15.</w:t>
      </w:r>
    </w:p>
    <w:p>
      <w:pPr>
        <w:pStyle w:val="BodyText"/>
      </w:pPr>
      <w:r>
        <w:rPr>
          <w:b/>
          <w:bCs/>
        </w:rPr>
        <w:t xml:space="preserve">Pools:</w:t>
      </w:r>
      <w:r>
        <w:t xml:space="preserve"> </w:t>
      </w:r>
      <w:r>
        <w:t xml:space="preserve">User (Student/Teacher/Admin) · System ·</w:t>
      </w:r>
      <w:r>
        <w:t xml:space="preserve"> </w:t>
      </w:r>
      <w:r>
        <w:rPr>
          <w:b/>
          <w:bCs/>
        </w:rPr>
        <w:t xml:space="preserve">Happy path:</w:t>
      </w:r>
      <w:r>
        <w:t xml:space="preserve"> </w:t>
      </w:r>
      <w:r>
        <w:t xml:space="preserve">submit credentials → validate (load active user, BCrypt) → issue JWT + refresh token → resolve role → redirect → logout/revoke ·</w:t>
      </w:r>
      <w:r>
        <w:t xml:space="preserve"> </w:t>
      </w:r>
      <w:r>
        <w:rPr>
          <w:b/>
          <w:bCs/>
        </w:rPr>
        <w:t xml:space="preserve">Gateways:</w:t>
      </w:r>
      <w:r>
        <w:t xml:space="preserve"> </w:t>
      </w:r>
      <w:r>
        <w:rPr>
          <w:i/>
          <w:iCs/>
        </w:rPr>
        <w:t xml:space="preserve">credentials valid &amp; account active?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Exceptions:</w:t>
      </w:r>
      <w:r>
        <w:t xml:space="preserve"> </w:t>
      </w:r>
      <w:r>
        <w:t xml:space="preserve">invalid/inactive → 401 ·</w:t>
      </w:r>
      <w:r>
        <w:t xml:space="preserve"> </w:t>
      </w:r>
      <w:r>
        <w:rPr>
          <w:b/>
          <w:bCs/>
        </w:rPr>
        <w:t xml:space="preserve">Maps to:</w:t>
      </w:r>
      <w:r>
        <w:t xml:space="preserve"> </w:t>
      </w:r>
      <w:r>
        <w:rPr>
          <w:rStyle w:val="VerbatimChar"/>
        </w:rPr>
        <w:t xml:space="preserve">auth/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config/SecurityConfig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refresh_tokens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/api/auth/me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/api/auth/logout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/api/auth/refresh</w:t>
      </w:r>
    </w:p>
    <w:p>
      <w:pPr>
        <w:pStyle w:val="BodyText"/>
        <w:jc w:val="center"/>
      </w:pPr>
      <w:r>
        <w:drawing>
          <wp:inline>
            <wp:extent cx="5334000" cy="4829663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_assets/figure-4-6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29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4.6 — User Authentication (BPMN 2.0 approximation).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author.)</w:t>
      </w:r>
    </w:p>
    <w:p>
      <w:pPr>
        <w:pStyle w:val="BodyText"/>
      </w:pPr>
      <w:r>
        <w:rPr>
          <w:b/>
          <w:bCs/>
        </w:rPr>
        <w:t xml:space="preserve">Table 4.1 — Traceability matrix: User Authentication.</w:t>
      </w:r>
      <w:r>
        <w:t xml:space="preserve"> </w:t>
      </w:r>
      <w:r>
        <w:rPr>
          <w:i/>
          <w:iCs/>
        </w:rPr>
        <w:t xml:space="preserve">(Source: author; endpoints verified against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auth/AuthController</w:t>
      </w:r>
      <w:r>
        <w:rPr>
          <w:i/>
          <w:iCs/>
        </w:rPr>
        <w:t xml:space="preserve">. Test IDs map to Appendix K.)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BPMN activity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Functional requirement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Architecture module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Database entity/field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API endpoint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credentials</w:t>
            </w:r>
          </w:p>
        </w:tc>
        <w:tc>
          <w:tcPr/>
          <w:p>
            <w:pPr>
              <w:pStyle w:val="Compact"/>
            </w:pPr>
            <w:r>
              <w:t xml:space="preserve">Accept email +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 (email, password_hash)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</w:p>
        </w:tc>
        <w:tc>
          <w:tcPr/>
          <w:p>
            <w:pPr>
              <w:pStyle w:val="Compact"/>
            </w:pPr>
            <w:r>
              <w:t xml:space="preserve">TC-AUTH-01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 credentials</w:t>
            </w:r>
          </w:p>
        </w:tc>
        <w:tc>
          <w:tcPr/>
          <w:p>
            <w:pPr>
              <w:pStyle w:val="Compact"/>
            </w:pPr>
            <w:r>
              <w:t xml:space="preserve">Verify BCrypt hash; reject inactive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security/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 (password_hash, active)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</w:p>
        </w:tc>
        <w:tc>
          <w:tcPr/>
          <w:p>
            <w:pPr>
              <w:pStyle w:val="Compact"/>
            </w:pPr>
            <w:r>
              <w:t xml:space="preserve">TC-AUTH-02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 JWT</w:t>
            </w:r>
          </w:p>
        </w:tc>
        <w:tc>
          <w:tcPr/>
          <w:p>
            <w:pPr>
              <w:pStyle w:val="Compact"/>
            </w:pPr>
            <w:r>
              <w:t xml:space="preserve">Role-encoded HS256 token + refresh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security/JwtTokenProvider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 (id, role)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refresh_tokens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/refresh</w:t>
            </w:r>
          </w:p>
        </w:tc>
        <w:tc>
          <w:tcPr/>
          <w:p>
            <w:pPr>
              <w:pStyle w:val="Compact"/>
            </w:pPr>
            <w:r>
              <w:t xml:space="preserve">TC-AUTH-03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Redirect by role</w:t>
            </w:r>
          </w:p>
        </w:tc>
        <w:tc>
          <w:tcPr/>
          <w:p>
            <w:pPr>
              <w:pStyle w:val="Compact"/>
            </w:pPr>
            <w:r>
              <w:t xml:space="preserve">Route to role-appropriate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</w:t>
            </w:r>
            <w:r>
              <w:t xml:space="preserve"> </w:t>
            </w:r>
            <w:r>
              <w:t xml:space="preserve">→ frontend router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 (role)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/api/auth/me</w:t>
            </w:r>
          </w:p>
        </w:tc>
        <w:tc>
          <w:tcPr/>
          <w:p>
            <w:pPr>
              <w:pStyle w:val="Compact"/>
            </w:pPr>
            <w:r>
              <w:t xml:space="preserve">TC-AUTH-04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handling</w:t>
            </w:r>
          </w:p>
        </w:tc>
        <w:tc>
          <w:tcPr/>
          <w:p>
            <w:pPr>
              <w:pStyle w:val="Compact"/>
            </w:pPr>
            <w:r>
              <w:t xml:space="preserve">Standardised 401 on failed 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GlobalExceptionHandler</w:t>
            </w:r>
          </w:p>
        </w:tc>
        <w:tc>
          <w:tcPr/>
          <w:p>
            <w:pPr>
              <w:pStyle w:val="Compact"/>
            </w:pPr>
            <w:r>
              <w:t xml:space="preserve">— (no write)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</w:p>
        </w:tc>
        <w:tc>
          <w:tcPr/>
          <w:p>
            <w:pPr>
              <w:pStyle w:val="Compact"/>
            </w:pPr>
            <w:r>
              <w:t xml:space="preserve">TC-AUTH-05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Revoke refresh token; reject reuse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RefreshTokenService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refresh_tokens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/api/auth/logout</w:t>
            </w:r>
          </w:p>
        </w:tc>
        <w:tc>
          <w:tcPr/>
          <w:p>
            <w:pPr>
              <w:pStyle w:val="Compact"/>
            </w:pPr>
            <w:r>
              <w:t xml:space="preserve">TC-AUTH-06</w:t>
            </w:r>
          </w:p>
        </w:tc>
      </w:tr>
    </w:tbl>
    <w:bookmarkEnd w:id="93"/>
    <w:bookmarkStart w:id="97" w:name="p2-attendance-management"/>
    <w:p>
      <w:pPr>
        <w:pStyle w:val="Heading4"/>
      </w:pPr>
      <w:r>
        <w:t xml:space="preserve">P2 — Attendance Management</w:t>
      </w:r>
    </w:p>
    <w:p>
      <w:pPr>
        <w:pStyle w:val="FirstParagraph"/>
      </w:pPr>
      <w:r>
        <w:t xml:space="preserve">Attendance Management is the system’s highest-frequency transactional operation and one of the seven</w:t>
      </w:r>
      <w:r>
        <w:t xml:space="preserve"> </w:t>
      </w:r>
      <w:r>
        <w:t xml:space="preserve">composite-score dimensions, so its design influences both write performance and analytical consistency.</w:t>
      </w:r>
      <w:r>
        <w:t xml:space="preserve"> </w:t>
      </w:r>
      <w:r>
        <w:t xml:space="preserve">The decisive design decision was the</w:t>
      </w:r>
      <w:r>
        <w:t xml:space="preserve"> </w:t>
      </w:r>
      <w:r>
        <w:rPr>
          <w:b/>
          <w:bCs/>
        </w:rPr>
        <w:t xml:space="preserve">synchronous, in-transaction metrics recompute</w:t>
      </w:r>
      <w:r>
        <w:t xml:space="preserve">. A textual</w:t>
      </w:r>
      <w:r>
        <w:t xml:space="preserve"> </w:t>
      </w:r>
      <w:r>
        <w:t xml:space="preserve">specification would likely describe attendance recording and metric updating as two unrelated</w:t>
      </w:r>
      <w:r>
        <w:t xml:space="preserve"> </w:t>
      </w:r>
      <w:r>
        <w:t xml:space="preserve">requirements, whereas modelling the process made the causal dependency explicit through a follow-on</w:t>
      </w:r>
      <w:r>
        <w:t xml:space="preserve"> </w:t>
      </w:r>
      <w:r>
        <w:t xml:space="preserve">task — driving the requirement that the dashboard reflect a new mark immediately (see Figure 4.13). The</w:t>
      </w:r>
      <w:r>
        <w:t xml:space="preserve"> </w:t>
      </w:r>
      <w:r>
        <w:t xml:space="preserve">rationale for keeping the recompute synchronous and inside the same request cycle (rather than queued)</w:t>
      </w:r>
      <w:r>
        <w:t xml:space="preserve"> </w:t>
      </w:r>
      <w:r>
        <w:t xml:space="preserve">is threefold: bulk attendance for roughly 24 students completes in about 200 ms in one transaction; the</w:t>
      </w:r>
      <w:r>
        <w:t xml:space="preserve"> </w:t>
      </w:r>
      <w:r>
        <w:t xml:space="preserve">live recompute is a visible demo feature (mark attendance, switch tab, the score has already changed);</w:t>
      </w:r>
      <w:r>
        <w:t xml:space="preserve"> </w:t>
      </w:r>
      <w:r>
        <w:t xml:space="preserve">and a single transaction guarantees one source of truth with no in-flight divergence between the write</w:t>
      </w:r>
      <w:r>
        <w:t xml:space="preserve"> </w:t>
      </w:r>
      <w:r>
        <w:t xml:space="preserve">and the cache. Two further consequences follow: the denormalised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 </w:t>
      </w:r>
      <w:r>
        <w:t xml:space="preserve">cache separates</w:t>
      </w:r>
      <w:r>
        <w:t xml:space="preserve"> </w:t>
      </w:r>
      <w:r>
        <w:t xml:space="preserve">analytical reads from transactional writes, and the validation gateway surfaced a uniqueness rule absent</w:t>
      </w:r>
      <w:r>
        <w:t xml:space="preserve"> </w:t>
      </w:r>
      <w:r>
        <w:t xml:space="preserve">from the original scope — no duplicate attendance per student-and-lesson — realised as a</w:t>
      </w:r>
      <w:r>
        <w:t xml:space="preserve"> </w:t>
      </w:r>
      <w:r>
        <w:rPr>
          <w:rStyle w:val="VerbatimChar"/>
        </w:rPr>
        <w:t xml:space="preserve">UNIQUE (student_id, lesson_id)</w:t>
      </w:r>
      <w:r>
        <w:t xml:space="preserve"> </w:t>
      </w:r>
      <w:r>
        <w:t xml:space="preserve">constraint and a 409 response.</w:t>
      </w:r>
    </w:p>
    <w:p>
      <w:pPr>
        <w:pStyle w:val="BodyText"/>
      </w:pPr>
      <w:r>
        <w:rPr>
          <w:b/>
          <w:bCs/>
        </w:rPr>
        <w:t xml:space="preserve">Pools:</w:t>
      </w:r>
      <w:r>
        <w:t xml:space="preserve"> </w:t>
      </w:r>
      <w:r>
        <w:t xml:space="preserve">Teacher · System ·</w:t>
      </w:r>
      <w:r>
        <w:t xml:space="preserve"> </w:t>
      </w:r>
      <w:r>
        <w:rPr>
          <w:b/>
          <w:bCs/>
        </w:rPr>
        <w:t xml:space="preserve">Happy path:</w:t>
      </w:r>
      <w:r>
        <w:t xml:space="preserve"> </w:t>
      </w:r>
      <w:r>
        <w:t xml:space="preserve">select own lesson → load students, default PRESENT → mark exceptions → save → upsert (unique) → synchronous recompute ·</w:t>
      </w:r>
      <w:r>
        <w:t xml:space="preserve"> </w:t>
      </w:r>
      <w:r>
        <w:rPr>
          <w:b/>
          <w:bCs/>
        </w:rPr>
        <w:t xml:space="preserve">Gateways:</w:t>
      </w:r>
      <w:r>
        <w:t xml:space="preserve"> </w:t>
      </w:r>
      <w:r>
        <w:rPr>
          <w:i/>
          <w:iCs/>
        </w:rPr>
        <w:t xml:space="preserve">own lesson?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valid status?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duplicate?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Exceptions:</w:t>
      </w:r>
      <w:r>
        <w:t xml:space="preserve"> </w:t>
      </w:r>
      <w:r>
        <w:t xml:space="preserve">403 / 400 / 409 ·</w:t>
      </w:r>
      <w:r>
        <w:t xml:space="preserve"> </w:t>
      </w:r>
      <w:r>
        <w:rPr>
          <w:b/>
          <w:bCs/>
        </w:rPr>
        <w:t xml:space="preserve">Maps to:</w:t>
      </w:r>
      <w:r>
        <w:t xml:space="preserve"> </w:t>
      </w:r>
      <w:r>
        <w:rPr>
          <w:rStyle w:val="VerbatimChar"/>
        </w:rPr>
        <w:t xml:space="preserve">attendance/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lessons/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lessons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 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/api/lessons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/api/lessons/{id}/attendance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/api/attendance/bulk</w:t>
      </w:r>
    </w:p>
    <w:p>
      <w:pPr>
        <w:pStyle w:val="BodyText"/>
        <w:jc w:val="center"/>
      </w:pPr>
      <w:r>
        <w:drawing>
          <wp:inline>
            <wp:extent cx="3557016" cy="6669405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_assets/figure-4-7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016" cy="6669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4.7 — Attendance Management (BPMN 2.0 approximation).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author.)</w:t>
      </w:r>
    </w:p>
    <w:p>
      <w:pPr>
        <w:pStyle w:val="BodyText"/>
      </w:pPr>
      <w:r>
        <w:rPr>
          <w:b/>
          <w:bCs/>
        </w:rPr>
        <w:t xml:space="preserve">Table 4.2 — Traceability matrix: Attendance Management.</w:t>
      </w:r>
      <w:r>
        <w:t xml:space="preserve"> </w:t>
      </w:r>
      <w:r>
        <w:rPr>
          <w:i/>
          <w:iCs/>
        </w:rPr>
        <w:t xml:space="preserve">(Source: author; verified against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attendance/AttendanceController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lessons/LessonController</w:t>
      </w:r>
      <w:r>
        <w:rPr>
          <w:i/>
          <w:iCs/>
        </w:rPr>
        <w:t xml:space="preserve">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BPMN activity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Functional requirement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Architecture module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Database entity/field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API endpoint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 lesson</w:t>
            </w:r>
          </w:p>
        </w:tc>
        <w:tc>
          <w:tcPr/>
          <w:p>
            <w:pPr>
              <w:pStyle w:val="Compact"/>
            </w:pPr>
            <w:r>
              <w:t xml:space="preserve">Teacher selects a lesson from own 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lessons/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lessons (id, teacher_id, scheduled_at)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/api/lessons</w:t>
            </w:r>
          </w:p>
        </w:tc>
        <w:tc>
          <w:tcPr/>
          <w:p>
            <w:pPr>
              <w:pStyle w:val="Compact"/>
            </w:pPr>
            <w:r>
              <w:t xml:space="preserve">TC-ATT-01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student list</w:t>
            </w:r>
          </w:p>
        </w:tc>
        <w:tc>
          <w:tcPr/>
          <w:p>
            <w:pPr>
              <w:pStyle w:val="Compact"/>
            </w:pPr>
            <w:r>
              <w:t xml:space="preserve">Retrieve enrolled students for the lesson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groups/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students (group_id)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/api/lessons/{id}/attendance</w:t>
            </w:r>
          </w:p>
        </w:tc>
        <w:tc>
          <w:tcPr/>
          <w:p>
            <w:pPr>
              <w:pStyle w:val="Compact"/>
            </w:pPr>
            <w:r>
              <w:t xml:space="preserve">TC-ATT-02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 exceptions</w:t>
            </w:r>
          </w:p>
        </w:tc>
        <w:tc>
          <w:tcPr/>
          <w:p>
            <w:pPr>
              <w:pStyle w:val="Compact"/>
            </w:pPr>
            <w:r>
              <w:t xml:space="preserve">Mark each student PRESENT/ABSENT/LATE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 (status, marked_by_user_id)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/api/attendance/bulk</w:t>
            </w:r>
          </w:p>
        </w:tc>
        <w:tc>
          <w:tcPr/>
          <w:p>
            <w:pPr>
              <w:pStyle w:val="Compact"/>
            </w:pPr>
            <w:r>
              <w:t xml:space="preserve">TC-ATT-03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 &amp; save</w:t>
            </w:r>
          </w:p>
        </w:tc>
        <w:tc>
          <w:tcPr/>
          <w:p>
            <w:pPr>
              <w:pStyle w:val="Compact"/>
            </w:pPr>
            <w:r>
              <w:t xml:space="preserve">Persist; prevent duplicate per lesson-student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attendance/</w:t>
            </w:r>
            <w:r>
              <w:t xml:space="preserve"> </w:t>
            </w:r>
            <w:r>
              <w:t xml:space="preserve">→ 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</w:t>
            </w:r>
            <w:r>
              <w:t xml:space="preserve"> </w:t>
            </w: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(student_id, lesson_id)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/api/attendance/bulk</w:t>
            </w:r>
          </w:p>
        </w:tc>
        <w:tc>
          <w:tcPr/>
          <w:p>
            <w:pPr>
              <w:pStyle w:val="Compact"/>
            </w:pPr>
            <w:r>
              <w:t xml:space="preserve">TC-ATT-04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 recompute</w:t>
            </w:r>
          </w:p>
        </w:tc>
        <w:tc>
          <w:tcPr/>
          <w:p>
            <w:pPr>
              <w:pStyle w:val="Compact"/>
            </w:pPr>
            <w:r>
              <w:t xml:space="preserve">Recompute attendance dimension after save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metrics/MetricsService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student_metrics (attendance_norm, computed_at)</w:t>
            </w:r>
          </w:p>
        </w:tc>
        <w:tc>
          <w:tcPr/>
          <w:p>
            <w:pPr>
              <w:pStyle w:val="Compact"/>
            </w:pPr>
            <w:r>
              <w:t xml:space="preserve">internal (synchronous, same tx)</w:t>
            </w:r>
          </w:p>
        </w:tc>
        <w:tc>
          <w:tcPr/>
          <w:p>
            <w:pPr>
              <w:pStyle w:val="Compact"/>
            </w:pPr>
            <w:r>
              <w:t xml:space="preserve">TC-ATT-05</w:t>
            </w:r>
          </w:p>
        </w:tc>
      </w:tr>
    </w:tbl>
    <w:bookmarkEnd w:id="97"/>
    <w:bookmarkStart w:id="101" w:name="p3-student-evaluation"/>
    <w:p>
      <w:pPr>
        <w:pStyle w:val="Heading4"/>
      </w:pPr>
      <w:r>
        <w:t xml:space="preserve">P3 — Student Evaluation</w:t>
      </w:r>
    </w:p>
    <w:p>
      <w:pPr>
        <w:pStyle w:val="FirstParagraph"/>
      </w:pPr>
      <w:r>
        <w:t xml:space="preserve">Student Evaluation records the assessed dimensions that, with attendance, form the composite score:</w:t>
      </w:r>
      <w:r>
        <w:t xml:space="preserve"> </w:t>
      </w:r>
      <w:r>
        <w:t xml:space="preserve">grades, behaviour, practical work and activity. Each dimension enters through a separate path but all</w:t>
      </w:r>
      <w:r>
        <w:t xml:space="preserve"> </w:t>
      </w:r>
      <w:r>
        <w:t xml:space="preserve">converge at a shared validation gateway before triggering composite recomputation. This convergence</w:t>
      </w:r>
      <w:r>
        <w:t xml:space="preserve"> </w:t>
      </w:r>
      <w:r>
        <w:t xml:space="preserve">justified a</w:t>
      </w:r>
      <w:r>
        <w:t xml:space="preserve"> </w:t>
      </w:r>
      <w:r>
        <w:rPr>
          <w:b/>
          <w:bCs/>
        </w:rPr>
        <w:t xml:space="preserve">single shared validation approach</w:t>
      </w:r>
      <w:r>
        <w:t xml:space="preserve"> </w:t>
      </w:r>
      <w:r>
        <w:t xml:space="preserve">in the evaluation slices rather than four separate</w:t>
      </w:r>
      <w:r>
        <w:t xml:space="preserve"> </w:t>
      </w:r>
      <w:r>
        <w:t xml:space="preserve">validators. The diversity of input shapes — grades carry a value and weight, behaviour a 1–5 score and</w:t>
      </w:r>
      <w:r>
        <w:t xml:space="preserve"> </w:t>
      </w:r>
      <w:r>
        <w:t xml:space="preserve">optional note, activity a type enum and score — supported the decision to use</w:t>
      </w:r>
      <w:r>
        <w:t xml:space="preserve"> </w:t>
      </w:r>
      <w:r>
        <w:rPr>
          <w:b/>
          <w:bCs/>
        </w:rPr>
        <w:t xml:space="preserve">separate tables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grades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behavior_records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activity_records</w:t>
      </w:r>
      <w:r>
        <w:t xml:space="preserve">) rather than one polymorphic table, preserving</w:t>
      </w:r>
      <w:r>
        <w:t xml:space="preserve"> </w:t>
      </w:r>
      <w:r>
        <w:t xml:space="preserve">targeted constraints. The central design decision, however, is the</w:t>
      </w:r>
      <w:r>
        <w:t xml:space="preserve"> </w:t>
      </w:r>
      <w:r>
        <w:rPr>
          <w:b/>
          <w:bCs/>
        </w:rPr>
        <w:t xml:space="preserve">transparent, configurable</w:t>
      </w:r>
      <w:r>
        <w:rPr>
          <w:b/>
          <w:bCs/>
        </w:rPr>
        <w:t xml:space="preserve"> </w:t>
      </w:r>
      <w:r>
        <w:rPr>
          <w:b/>
          <w:bCs/>
        </w:rPr>
        <w:t xml:space="preserve">composite formula</w:t>
      </w:r>
      <w:r>
        <w:t xml:space="preserve">: each table feeds one dimension of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, the seven weights are stored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formula_config</w:t>
      </w:r>
      <w:r>
        <w:t xml:space="preserve"> </w:t>
      </w:r>
      <w:r>
        <w:t xml:space="preserve">rather than hardcoded, and they are required to sum to 1.0 (defaults</w:t>
      </w:r>
      <w:r>
        <w:t xml:space="preserve"> </w:t>
      </w:r>
      <w:r>
        <w:t xml:space="preserve">0.25 / 0.15 / 0.25 / 0.10 / 0.10 / 0.10 / 0.05 for grades / attendance / practical / behaviour /</w:t>
      </w:r>
      <w:r>
        <w:t xml:space="preserve"> </w:t>
      </w:r>
      <w:r>
        <w:t xml:space="preserve">activity / growth bonus / consistency bonus). The requirement was that decisions affecting a student’s</w:t>
      </w:r>
      <w:r>
        <w:t xml:space="preserve"> </w:t>
      </w:r>
      <w:r>
        <w:t xml:space="preserve">standing must be explainable (NFR1; Slade and Prinsloo, 2013); the design decision was a stored,</w:t>
      </w:r>
      <w:r>
        <w:t xml:space="preserve"> </w:t>
      </w:r>
      <w:r>
        <w:t xml:space="preserve">weighted-sum formula computed by a pure</w:t>
      </w:r>
      <w:r>
        <w:t xml:space="preserve"> </w:t>
      </w:r>
      <w:r>
        <w:rPr>
          <w:rStyle w:val="VerbatimChar"/>
        </w:rPr>
        <w:t xml:space="preserve">MetricsEngine</w:t>
      </w:r>
      <w:r>
        <w:t xml:space="preserve"> </w:t>
      </w:r>
      <w:r>
        <w:t xml:space="preserve">(no Spring, no JPA, fully unit-testable) and</w:t>
      </w:r>
      <w:r>
        <w:t xml:space="preserve"> </w:t>
      </w:r>
      <w:r>
        <w:t xml:space="preserve">orchestrated by a transactional</w:t>
      </w:r>
      <w:r>
        <w:t xml:space="preserve"> </w:t>
      </w:r>
      <w:r>
        <w:rPr>
          <w:rStyle w:val="VerbatimChar"/>
        </w:rPr>
        <w:t xml:space="preserve">MetricsService</w:t>
      </w:r>
      <w:r>
        <w:t xml:space="preserve">; the rationale is that a transparent weighted sum can</w:t>
      </w:r>
      <w:r>
        <w:t xml:space="preserve"> </w:t>
      </w:r>
      <w:r>
        <w:t xml:space="preserve">be audited and reconfigured by an administrator without code change, unlike an opaque predictive model.</w:t>
      </w:r>
    </w:p>
    <w:p>
      <w:pPr>
        <w:pStyle w:val="BodyText"/>
      </w:pPr>
      <w:r>
        <w:rPr>
          <w:b/>
          <w:bCs/>
        </w:rPr>
        <w:t xml:space="preserve">Pools:</w:t>
      </w:r>
      <w:r>
        <w:t xml:space="preserve"> </w:t>
      </w:r>
      <w:r>
        <w:t xml:space="preserve">Teacher · System ·</w:t>
      </w:r>
      <w:r>
        <w:t xml:space="preserve"> </w:t>
      </w:r>
      <w:r>
        <w:rPr>
          <w:b/>
          <w:bCs/>
        </w:rPr>
        <w:t xml:space="preserve">Happy path:</w:t>
      </w:r>
      <w:r>
        <w:t xml:space="preserve"> </w:t>
      </w:r>
      <w:r>
        <w:t xml:space="preserve">enter grade/behaviour/activity → validate → persist → load formula → recompute composite → upsert + audit ·</w:t>
      </w:r>
      <w:r>
        <w:t xml:space="preserve"> </w:t>
      </w:r>
      <w:r>
        <w:rPr>
          <w:b/>
          <w:bCs/>
        </w:rPr>
        <w:t xml:space="preserve">Gateways:</w:t>
      </w:r>
      <w:r>
        <w:t xml:space="preserve"> </w:t>
      </w:r>
      <w:r>
        <w:rPr>
          <w:i/>
          <w:iCs/>
        </w:rPr>
        <w:t xml:space="preserve">field-level validation?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FK satisfied?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Exceptions:</w:t>
      </w:r>
      <w:r>
        <w:t xml:space="preserve"> </w:t>
      </w:r>
      <w:r>
        <w:t xml:space="preserve">grade100 → 400; behaviour∉1–5 → 400; unknown activity → 400; missing FK → 422 ·</w:t>
      </w:r>
      <w:r>
        <w:t xml:space="preserve"> </w:t>
      </w:r>
      <w:r>
        <w:rPr>
          <w:b/>
          <w:bCs/>
        </w:rPr>
        <w:t xml:space="preserve">Maps to:</w:t>
      </w:r>
      <w:r>
        <w:t xml:space="preserve"> </w:t>
      </w:r>
      <w:r>
        <w:rPr>
          <w:rStyle w:val="VerbatimChar"/>
        </w:rPr>
        <w:t xml:space="preserve">grades/</w:t>
      </w:r>
      <w:r>
        <w:t xml:space="preserve">,</w:t>
      </w:r>
      <w:r>
        <w:t xml:space="preserve"> </w:t>
      </w:r>
      <w:r>
        <w:rPr>
          <w:rStyle w:val="VerbatimChar"/>
        </w:rPr>
        <w:t xml:space="preserve">behavior/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gradebook/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gradecategories/</w:t>
      </w:r>
      <w:r>
        <w:t xml:space="preserve">,</w:t>
      </w:r>
      <w:r>
        <w:t xml:space="preserve"> </w:t>
      </w:r>
      <w:r>
        <w:rPr>
          <w:rStyle w:val="VerbatimChar"/>
        </w:rPr>
        <w:t xml:space="preserve">rubrics/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grades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behavior_records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activity_records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formula_config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/api/grades(/bulk)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/api/behavior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/api/activity</w:t>
      </w:r>
    </w:p>
    <w:p>
      <w:pPr>
        <w:pStyle w:val="BodyText"/>
        <w:jc w:val="center"/>
      </w:pPr>
      <w:r>
        <w:drawing>
          <wp:inline>
            <wp:extent cx="3255264" cy="6683068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_assets/figure-4-8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264" cy="6683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4.8 — Student Evaluation (BPMN 2.0 approximation).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author.)</w:t>
      </w:r>
    </w:p>
    <w:p>
      <w:pPr>
        <w:pStyle w:val="BodyText"/>
      </w:pPr>
      <w:r>
        <w:rPr>
          <w:b/>
          <w:bCs/>
        </w:rPr>
        <w:t xml:space="preserve">Table 4.3 — Traceability matrix: Student Evaluation.</w:t>
      </w:r>
      <w:r>
        <w:t xml:space="preserve"> </w:t>
      </w:r>
      <w:r>
        <w:rPr>
          <w:i/>
          <w:iCs/>
        </w:rPr>
        <w:t xml:space="preserve">(Source: author; verified against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grades/GradeController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behavior/BehaviorController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metrics/MetricsController</w:t>
      </w:r>
      <w:r>
        <w:rPr>
          <w:i/>
          <w:iCs/>
        </w:rPr>
        <w:t xml:space="preserve">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BPMN activity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Functional requirement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Architecture module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Database entity/field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API endpoint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grade</w:t>
            </w:r>
          </w:p>
        </w:tc>
        <w:tc>
          <w:tcPr/>
          <w:p>
            <w:pPr>
              <w:pStyle w:val="Compact"/>
            </w:pPr>
            <w:r>
              <w:t xml:space="preserve">Record numeric grade with 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grades (value, assignment_id)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/api/grades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/bulk</w:t>
            </w:r>
          </w:p>
        </w:tc>
        <w:tc>
          <w:tcPr/>
          <w:p>
            <w:pPr>
              <w:pStyle w:val="Compact"/>
            </w:pPr>
            <w:r>
              <w:t xml:space="preserve">TC-EVAL-01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behaviour</w:t>
            </w:r>
          </w:p>
        </w:tc>
        <w:tc>
          <w:tcPr/>
          <w:p>
            <w:pPr>
              <w:pStyle w:val="Compact"/>
            </w:pPr>
            <w:r>
              <w:t xml:space="preserve">Record behaviour score (1–5) + 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behavior/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behavior_records (value, comment)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/api/behavior</w:t>
            </w:r>
          </w:p>
        </w:tc>
        <w:tc>
          <w:tcPr/>
          <w:p>
            <w:pPr>
              <w:pStyle w:val="Compact"/>
            </w:pPr>
            <w:r>
              <w:t xml:space="preserve">TC-EVAL-02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activity</w:t>
            </w:r>
          </w:p>
        </w:tc>
        <w:tc>
          <w:tcPr/>
          <w:p>
            <w:pPr>
              <w:pStyle w:val="Compact"/>
            </w:pPr>
            <w:r>
              <w:t xml:space="preserve">Log activity type and 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behavior/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activity_records (type, value)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/api/activity</w:t>
            </w:r>
          </w:p>
        </w:tc>
        <w:tc>
          <w:tcPr/>
          <w:p>
            <w:pPr>
              <w:pStyle w:val="Compact"/>
            </w:pPr>
            <w:r>
              <w:t xml:space="preserve">TC-EVAL-03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 all inputs</w:t>
            </w:r>
          </w:p>
        </w:tc>
        <w:tc>
          <w:tcPr/>
          <w:p>
            <w:pPr>
              <w:pStyle w:val="Compact"/>
            </w:pPr>
            <w:r>
              <w:t xml:space="preserve">Field-level validation before persist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common/</w:t>
            </w:r>
            <w:r>
              <w:t xml:space="preserve"> </w:t>
            </w:r>
            <w:r>
              <w:rPr>
                <w:rStyle w:val="VerbatimChar"/>
              </w:rPr>
              <w:t xml:space="preserve">@Valid</w:t>
            </w:r>
            <w:r>
              <w:t xml:space="preserve"> </w:t>
            </w:r>
            <w:r>
              <w:t xml:space="preserve">+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behavior_records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activity_records</w:t>
            </w:r>
          </w:p>
        </w:tc>
        <w:tc>
          <w:tcPr/>
          <w:p>
            <w:pPr>
              <w:pStyle w:val="Compact"/>
            </w:pPr>
            <w:r>
              <w:t xml:space="preserve">the three POSTs</w:t>
            </w:r>
          </w:p>
        </w:tc>
        <w:tc>
          <w:tcPr/>
          <w:p>
            <w:pPr>
              <w:pStyle w:val="Compact"/>
            </w:pPr>
            <w:r>
              <w:t xml:space="preserve">TC-EVAL-04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 composite recompute</w:t>
            </w:r>
          </w:p>
        </w:tc>
        <w:tc>
          <w:tcPr/>
          <w:p>
            <w:pPr>
              <w:pStyle w:val="Compact"/>
            </w:pPr>
            <w:r>
              <w:t xml:space="preserve">Recompute composite via formula weights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metrics/MetricsEngine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MetricsService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student_metrics (composite_score)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formula_config</w:t>
            </w:r>
          </w:p>
        </w:tc>
        <w:tc>
          <w:tcPr/>
          <w:p>
            <w:pPr>
              <w:pStyle w:val="Compact"/>
            </w:pPr>
            <w:r>
              <w:t xml:space="preserve">internal (synchronous)</w:t>
            </w:r>
          </w:p>
        </w:tc>
        <w:tc>
          <w:tcPr/>
          <w:p>
            <w:pPr>
              <w:pStyle w:val="Compact"/>
            </w:pPr>
            <w:r>
              <w:t xml:space="preserve">TC-EVAL-05</w:t>
            </w:r>
          </w:p>
        </w:tc>
      </w:tr>
    </w:tbl>
    <w:bookmarkEnd w:id="101"/>
    <w:bookmarkStart w:id="105" w:name="p4-student-analytics-generation"/>
    <w:p>
      <w:pPr>
        <w:pStyle w:val="Heading4"/>
      </w:pPr>
      <w:r>
        <w:t xml:space="preserve">P4 — Student Analytics Generation</w:t>
      </w:r>
    </w:p>
    <w:p>
      <w:pPr>
        <w:pStyle w:val="FirstParagraph"/>
      </w:pPr>
      <w:r>
        <w:t xml:space="preserve">This read-side process transforms stored operational data into analytical outputs — composite score,</w:t>
      </w:r>
      <w:r>
        <w:t xml:space="preserve"> </w:t>
      </w:r>
      <w:r>
        <w:t xml:space="preserve">six-dimension radar, growth trend and at-risk status. The process model made visible the classic</w:t>
      </w:r>
      <w:r>
        <w:t xml:space="preserve"> </w:t>
      </w:r>
      <w:r>
        <w:t xml:space="preserve">analytics tension between query freshness and response performance: the dashboard must present</w:t>
      </w:r>
      <w:r>
        <w:t xml:space="preserve"> </w:t>
      </w:r>
      <w:r>
        <w:t xml:space="preserve">composite, all dimension scores, a radar and a trend simultaneously, which would be unacceptably slow if</w:t>
      </w:r>
      <w:r>
        <w:t xml:space="preserve"> </w:t>
      </w:r>
      <w:r>
        <w:t xml:space="preserve">derived from raw tables on every request. This justified</w:t>
      </w:r>
      <w:r>
        <w:t xml:space="preserve"> </w:t>
      </w:r>
      <w:r>
        <w:rPr>
          <w:b/>
          <w:bCs/>
        </w:rPr>
        <w:t xml:space="preserve">two distinct structures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 </w:t>
      </w:r>
      <w:r>
        <w:t xml:space="preserve">as a denormalised single-row cache for fast current reads, and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 </w:t>
      </w:r>
      <w:r>
        <w:t xml:space="preserve">for historical trend</w:t>
      </w:r>
      <w:r>
        <w:t xml:space="preserve"> </w:t>
      </w:r>
      <w:r>
        <w:t xml:space="preserve">— and a</w:t>
      </w:r>
      <w:r>
        <w:t xml:space="preserve"> </w:t>
      </w:r>
      <w:r>
        <w:rPr>
          <w:b/>
          <w:bCs/>
        </w:rPr>
        <w:t xml:space="preserve">single composed endpoint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/api/students/{id}/dashboard</w:t>
      </w:r>
      <w:r>
        <w:t xml:space="preserve">. The requirement was</w:t>
      </w:r>
      <w:r>
        <w:t xml:space="preserve"> </w:t>
      </w:r>
      <w:r>
        <w:t xml:space="preserve">responsive analytical reads (NFR3); the design decision was the</w:t>
      </w:r>
      <w:r>
        <w:t xml:space="preserve"> </w:t>
      </w:r>
      <w:r>
        <w:t xml:space="preserve">“one screen, one endpoint”</w:t>
      </w:r>
      <w:r>
        <w:t xml:space="preserve"> </w:t>
      </w:r>
      <w:r>
        <w:t xml:space="preserve">rule that</w:t>
      </w:r>
      <w:r>
        <w:t xml:space="preserve"> </w:t>
      </w:r>
      <w:r>
        <w:t xml:space="preserve">aggregates current metrics, trend, dimension breakdown and risk flag in a single call, with a</w:t>
      </w:r>
      <w:r>
        <w:t xml:space="preserve"> </w:t>
      </w:r>
      <w:r>
        <w:t xml:space="preserve">short-TTL Redis cache fronting cross-student dashboards; the rationale is that a chatty four-request</w:t>
      </w:r>
      <w:r>
        <w:t xml:space="preserve"> </w:t>
      </w:r>
      <w:r>
        <w:t xml:space="preserve">frontend would multiply latency and complicate the client, whereas a server-composed payload keeps the</w:t>
      </w:r>
      <w:r>
        <w:t xml:space="preserve"> </w:t>
      </w:r>
      <w:r>
        <w:t xml:space="preserve">read model fast and the contract simple (Fielding, 2000; Richardson and Amundsen, 2013). The composition</w:t>
      </w:r>
      <w:r>
        <w:t xml:space="preserve"> </w:t>
      </w:r>
      <w:r>
        <w:t xml:space="preserve">is detailed as a sequence in Figure 4.14.</w:t>
      </w:r>
    </w:p>
    <w:p>
      <w:pPr>
        <w:pStyle w:val="BodyText"/>
      </w:pPr>
      <w:r>
        <w:rPr>
          <w:b/>
          <w:bCs/>
        </w:rPr>
        <w:t xml:space="preserve">Pools:</w:t>
      </w:r>
      <w:r>
        <w:t xml:space="preserve"> </w:t>
      </w:r>
      <w:r>
        <w:t xml:space="preserve">Viewer · System ·</w:t>
      </w:r>
      <w:r>
        <w:t xml:space="preserve"> </w:t>
      </w:r>
      <w:r>
        <w:rPr>
          <w:b/>
          <w:bCs/>
        </w:rPr>
        <w:t xml:space="preserve">Happy path:</w:t>
      </w:r>
      <w:r>
        <w:t xml:space="preserve"> </w:t>
      </w:r>
      <w:r>
        <w:t xml:space="preserve">open dashboard → check access → read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 </w:t>
      </w:r>
      <w:r>
        <w:t xml:space="preserve">→ fetch snapshots → build radar → compose payload → render ·</w:t>
      </w:r>
      <w:r>
        <w:t xml:space="preserve"> </w:t>
      </w:r>
      <w:r>
        <w:rPr>
          <w:b/>
          <w:bCs/>
        </w:rPr>
        <w:t xml:space="preserve">Gateways:</w:t>
      </w:r>
      <w:r>
        <w:t xml:space="preserve"> </w:t>
      </w:r>
      <w:r>
        <w:rPr>
          <w:i/>
          <w:iCs/>
        </w:rPr>
        <w:t xml:space="preserve">access rights?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metrics stale?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Exceptions:</w:t>
      </w:r>
      <w:r>
        <w:t xml:space="preserve"> </w:t>
      </w:r>
      <w:r>
        <w:t xml:space="preserve">403; lazy recompute if stale ·</w:t>
      </w:r>
      <w:r>
        <w:t xml:space="preserve"> </w:t>
      </w:r>
      <w:r>
        <w:rPr>
          <w:b/>
          <w:bCs/>
        </w:rPr>
        <w:t xml:space="preserve">Maps to:</w:t>
      </w:r>
      <w:r>
        <w:t xml:space="preserve"> </w:t>
      </w:r>
      <w:r>
        <w:rPr>
          <w:rStyle w:val="VerbatimChar"/>
        </w:rPr>
        <w:t xml:space="preserve">students/StudentDashboardService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analytics/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/api/students/{id}/dashboard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/metrics/trend</w:t>
      </w:r>
    </w:p>
    <w:p>
      <w:pPr>
        <w:pStyle w:val="BodyText"/>
        <w:jc w:val="center"/>
      </w:pPr>
      <w:r>
        <w:drawing>
          <wp:inline>
            <wp:extent cx="3602736" cy="6681023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_assets/figure-4-9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736" cy="6681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4.9 — Student Analytics Generation (BPMN 2.0 approximation).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author.)</w:t>
      </w:r>
    </w:p>
    <w:p>
      <w:pPr>
        <w:pStyle w:val="BodyText"/>
      </w:pPr>
      <w:r>
        <w:rPr>
          <w:b/>
          <w:bCs/>
        </w:rPr>
        <w:t xml:space="preserve">Table 4.4 — Traceability matrix: Student Analytics Generation.</w:t>
      </w:r>
      <w:r>
        <w:t xml:space="preserve"> </w:t>
      </w:r>
      <w:r>
        <w:rPr>
          <w:i/>
          <w:iCs/>
        </w:rPr>
        <w:t xml:space="preserve">(Source: author; verified against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students/StudentController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metrics/MetricsController</w:t>
      </w:r>
      <w:r>
        <w:rPr>
          <w:i/>
          <w:iCs/>
        </w:rPr>
        <w:t xml:space="preserve">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BPMN activity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Functional requirement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Architecture module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Database entity/field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API endpoint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Retrieve cached metrics</w:t>
            </w:r>
          </w:p>
        </w:tc>
        <w:tc>
          <w:tcPr/>
          <w:p>
            <w:pPr>
              <w:pStyle w:val="Compact"/>
            </w:pPr>
            <w:r>
              <w:t xml:space="preserve">Read current dimension scores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student_metrics (all *_norm, composite_score)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/api/students/{id}/metrics</w:t>
            </w:r>
          </w:p>
        </w:tc>
        <w:tc>
          <w:tcPr/>
          <w:p>
            <w:pPr>
              <w:pStyle w:val="Compact"/>
            </w:pPr>
            <w:r>
              <w:t xml:space="preserve">TC-ANA-01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Retrieve growth snapshots</w:t>
            </w:r>
          </w:p>
        </w:tc>
        <w:tc>
          <w:tcPr/>
          <w:p>
            <w:pPr>
              <w:pStyle w:val="Compact"/>
            </w:pPr>
            <w:r>
              <w:t xml:space="preserve">Return snapshots ordered by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metric_snapshots (snapshot_date, composite_score)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/api/students/{id}/metrics/trend</w:t>
            </w:r>
          </w:p>
        </w:tc>
        <w:tc>
          <w:tcPr/>
          <w:p>
            <w:pPr>
              <w:pStyle w:val="Compact"/>
            </w:pPr>
            <w:r>
              <w:t xml:space="preserve">TC-ANA-02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radar profile</w:t>
            </w:r>
          </w:p>
        </w:tc>
        <w:tc>
          <w:tcPr/>
          <w:p>
            <w:pPr>
              <w:pStyle w:val="Compact"/>
            </w:pPr>
            <w:r>
              <w:t xml:space="preserve">Compute 6-dimension radar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students/StudentDashboardService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student_metrics (6 dimension norms)</w:t>
            </w:r>
          </w:p>
        </w:tc>
        <w:tc>
          <w:tcPr/>
          <w:p>
            <w:pPr>
              <w:pStyle w:val="Compact"/>
            </w:pPr>
            <w:r>
              <w:t xml:space="preserve">composed in dashboard payload</w:t>
            </w:r>
          </w:p>
        </w:tc>
        <w:tc>
          <w:tcPr/>
          <w:p>
            <w:pPr>
              <w:pStyle w:val="Compact"/>
            </w:pPr>
            <w:r>
              <w:t xml:space="preserve">TC-ANA-03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 dashboard payload</w:t>
            </w:r>
          </w:p>
        </w:tc>
        <w:tc>
          <w:tcPr/>
          <w:p>
            <w:pPr>
              <w:pStyle w:val="Compact"/>
            </w:pPr>
            <w:r>
              <w:t xml:space="preserve">Aggregate composite + radar + trend + risk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students/StudentDashboardService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student_metrics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metric_snapshots</w:t>
            </w:r>
            <w:r>
              <w:t xml:space="preserve"> </w:t>
            </w:r>
            <w:r>
              <w:t xml:space="preserve">+ risk flag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/api/students/{id}/dashboard</w:t>
            </w:r>
          </w:p>
        </w:tc>
        <w:tc>
          <w:tcPr/>
          <w:p>
            <w:pPr>
              <w:pStyle w:val="Compact"/>
            </w:pPr>
            <w:r>
              <w:t xml:space="preserve">TC-ANA-04</w:t>
            </w:r>
          </w:p>
        </w:tc>
      </w:tr>
    </w:tbl>
    <w:bookmarkEnd w:id="105"/>
    <w:bookmarkStart w:id="109" w:name="p5-at-risk-student-detection"/>
    <w:p>
      <w:pPr>
        <w:pStyle w:val="Heading4"/>
      </w:pPr>
      <w:r>
        <w:t xml:space="preserve">P5 — At-Risk Student Detection</w:t>
      </w:r>
    </w:p>
    <w:p>
      <w:pPr>
        <w:pStyle w:val="FirstParagraph"/>
      </w:pPr>
      <w:r>
        <w:t xml:space="preserve">This exception-driven analytical workflow identifies students whose trajectory meets configurable risk</w:t>
      </w:r>
      <w:r>
        <w:t xml:space="preserve"> </w:t>
      </w:r>
      <w:r>
        <w:t xml:space="preserve">criteria and surfaces alerts. It involves two independent evaluation paths — threshold comparison of</w:t>
      </w:r>
      <w:r>
        <w:t xml:space="preserve"> </w:t>
      </w:r>
      <w:r>
        <w:t xml:space="preserve">the current composite against a configurable threshold, and trend analysis of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 </w:t>
      </w:r>
      <w:r>
        <w:t xml:space="preserve">for a</w:t>
      </w:r>
      <w:r>
        <w:t xml:space="preserve"> </w:t>
      </w:r>
      <w:r>
        <w:t xml:space="preserve">sustained decline — represented as separate gateways converging at a severity-classification task. The</w:t>
      </w:r>
      <w:r>
        <w:t xml:space="preserve"> </w:t>
      </w:r>
      <w:r>
        <w:t xml:space="preserve">most consequential design decision was</w:t>
      </w:r>
      <w:r>
        <w:t xml:space="preserve"> </w:t>
      </w:r>
      <w:r>
        <w:rPr>
          <w:b/>
          <w:bCs/>
        </w:rPr>
        <w:t xml:space="preserve">configurability</w:t>
      </w:r>
      <w:r>
        <w:t xml:space="preserve">: the model made explicit that the threshold</w:t>
      </w:r>
      <w:r>
        <w:t xml:space="preserve"> </w:t>
      </w:r>
      <w:r>
        <w:t xml:space="preserve">is an</w:t>
      </w:r>
      <w:r>
        <w:t xml:space="preserve"> </w:t>
      </w:r>
      <w:r>
        <w:rPr>
          <w:i/>
          <w:iCs/>
        </w:rPr>
        <w:t xml:space="preserve">input</w:t>
      </w:r>
      <w:r>
        <w:t xml:space="preserve"> </w:t>
      </w:r>
      <w:r>
        <w:t xml:space="preserve">to the process, not a hardcoded rule, producing the</w:t>
      </w:r>
      <w:r>
        <w:t xml:space="preserve"> </w:t>
      </w:r>
      <w:r>
        <w:rPr>
          <w:rStyle w:val="VerbatimChar"/>
        </w:rPr>
        <w:t xml:space="preserve">at_risk_rules</w:t>
      </w:r>
      <w:r>
        <w:t xml:space="preserve"> </w:t>
      </w:r>
      <w:r>
        <w:t xml:space="preserve">configuration</w:t>
      </w:r>
      <w:r>
        <w:t xml:space="preserve"> </w:t>
      </w:r>
      <w:r>
        <w:t xml:space="preserve">(managed via</w:t>
      </w:r>
      <w:r>
        <w:t xml:space="preserve"> </w:t>
      </w:r>
      <w:r>
        <w:rPr>
          <w:rStyle w:val="VerbatimChar"/>
        </w:rPr>
        <w:t xml:space="preserve">/api/at-risk-rules</w:t>
      </w:r>
      <w:r>
        <w:t xml:space="preserve">) and the institution-level threshold in</w:t>
      </w:r>
      <w:r>
        <w:t xml:space="preserve"> </w:t>
      </w:r>
      <w:r>
        <w:rPr>
          <w:rStyle w:val="VerbatimChar"/>
        </w:rPr>
        <w:t xml:space="preserve">institution_settings</w:t>
      </w:r>
      <w:r>
        <w:t xml:space="preserve">, both</w:t>
      </w:r>
      <w:r>
        <w:t xml:space="preserve"> </w:t>
      </w:r>
      <w:r>
        <w:t xml:space="preserve">editable by an admin without code change. The requirement was early, trustworthy at-risk identification</w:t>
      </w:r>
      <w:r>
        <w:t xml:space="preserve"> </w:t>
      </w:r>
      <w:r>
        <w:t xml:space="preserve">(FR5; Arnold and Pistilli, 2012); the design decision was rule-driven detection over rules an</w:t>
      </w:r>
      <w:r>
        <w:t xml:space="preserve"> </w:t>
      </w:r>
      <w:r>
        <w:t xml:space="preserve">administrator can tune; the rationale is that hardcoding a threshold would freeze a policy decision into</w:t>
      </w:r>
      <w:r>
        <w:t xml:space="preserve"> </w:t>
      </w:r>
      <w:r>
        <w:t xml:space="preserve">code and erode trust, whereas a configuration table keeps the policy in the hands of the institution.</w:t>
      </w:r>
      <w:r>
        <w:t xml:space="preserve"> </w:t>
      </w:r>
      <w:r>
        <w:t xml:space="preserve">Flagged students surface through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 and the role-scoped list is served by</w:t>
      </w:r>
      <w:r>
        <w:t xml:space="preserve"> </w:t>
      </w:r>
      <w:r>
        <w:rPr>
          <w:rStyle w:val="VerbatimChar"/>
        </w:rPr>
        <w:t xml:space="preserve">GET /api/analytics/at-risk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Pools:</w:t>
      </w:r>
      <w:r>
        <w:t xml:space="preserve"> </w:t>
      </w:r>
      <w:r>
        <w:t xml:space="preserve">System · Teacher/Admin ·</w:t>
      </w:r>
      <w:r>
        <w:t xml:space="preserve"> </w:t>
      </w:r>
      <w:r>
        <w:rPr>
          <w:b/>
          <w:bCs/>
        </w:rPr>
        <w:t xml:space="preserve">Happy path:</w:t>
      </w:r>
      <w:r>
        <w:t xml:space="preserve"> </w:t>
      </w:r>
      <w:r>
        <w:t xml:space="preserve">trigger → threshold check → decline check → flag → classify severity → notify → view list → acknowledge ·</w:t>
      </w:r>
      <w:r>
        <w:t xml:space="preserve"> </w:t>
      </w:r>
      <w:r>
        <w:rPr>
          <w:b/>
          <w:bCs/>
        </w:rPr>
        <w:t xml:space="preserve">Gateways:</w:t>
      </w:r>
      <w:r>
        <w:t xml:space="preserve"> </w:t>
      </w:r>
      <w:r>
        <w:rPr>
          <w:i/>
          <w:iCs/>
        </w:rPr>
        <w:t xml:space="preserve">below threshold?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declining over N snapshots?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severity?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Exceptions:</w:t>
      </w:r>
      <w:r>
        <w:t xml:space="preserve"> </w:t>
      </w:r>
      <w:r>
        <w:t xml:space="preserve">decline-only flag; no-flag end ·</w:t>
      </w:r>
      <w:r>
        <w:t xml:space="preserve"> </w:t>
      </w:r>
      <w:r>
        <w:rPr>
          <w:b/>
          <w:bCs/>
        </w:rPr>
        <w:t xml:space="preserve">Maps to:</w:t>
      </w:r>
      <w:r>
        <w:t xml:space="preserve"> </w:t>
      </w:r>
      <w:r>
        <w:rPr>
          <w:rStyle w:val="VerbatimChar"/>
        </w:rPr>
        <w:t xml:space="preserve">atrisk/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analytics/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notifications/</w:t>
      </w:r>
      <w:r>
        <w:t xml:space="preserve">,</w:t>
      </w:r>
      <w:r>
        <w:t xml:space="preserve"> </w:t>
      </w:r>
      <w:r>
        <w:rPr>
          <w:rStyle w:val="VerbatimChar"/>
        </w:rPr>
        <w:t xml:space="preserve">reminders/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at_risk_rules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/api/analytics/at-risk</w:t>
      </w:r>
      <w:r>
        <w:t xml:space="preserve">,</w:t>
      </w:r>
      <w:r>
        <w:t xml:space="preserve"> </w:t>
      </w:r>
      <w:r>
        <w:rPr>
          <w:rStyle w:val="VerbatimChar"/>
        </w:rPr>
        <w:t xml:space="preserve">GET/PATCH /api/at-risk-rules</w:t>
      </w:r>
    </w:p>
    <w:p>
      <w:pPr>
        <w:pStyle w:val="BodyText"/>
        <w:jc w:val="center"/>
      </w:pPr>
      <w:r>
        <w:drawing>
          <wp:inline>
            <wp:extent cx="2322576" cy="668428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_assets/figure-4-10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576" cy="6684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4.10 — At-Risk Student Detection (BPMN 2.0 approximation).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author.)</w:t>
      </w:r>
    </w:p>
    <w:p>
      <w:pPr>
        <w:pStyle w:val="BodyText"/>
      </w:pPr>
      <w:r>
        <w:rPr>
          <w:b/>
          <w:bCs/>
        </w:rPr>
        <w:t xml:space="preserve">Table 4.5 — Traceability matrix: At-Risk Student Detection.</w:t>
      </w:r>
      <w:r>
        <w:t xml:space="preserve"> </w:t>
      </w:r>
      <w:r>
        <w:rPr>
          <w:i/>
          <w:iCs/>
        </w:rPr>
        <w:t xml:space="preserve">(Source: author; verified against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atrisk/AtRiskRulesController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analytics/AnalyticsController</w:t>
      </w:r>
      <w:r>
        <w:rPr>
          <w:i/>
          <w:iCs/>
        </w:rPr>
        <w:t xml:space="preserve">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BPMN activity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Functional requirement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Architecture module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Database entity/field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API endpoint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Evaluate thresholds</w:t>
            </w:r>
          </w:p>
        </w:tc>
        <w:tc>
          <w:tcPr/>
          <w:p>
            <w:pPr>
              <w:pStyle w:val="Compact"/>
            </w:pPr>
            <w:r>
              <w:t xml:space="preserve">Compare composite against configurable threshold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atrisk/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analytics/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student_metrics (composite_score)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at_risk_rules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institution_settings (threshold)</w:t>
            </w:r>
          </w:p>
        </w:tc>
        <w:tc>
          <w:tcPr/>
          <w:p>
            <w:pPr>
              <w:pStyle w:val="Compact"/>
            </w:pPr>
            <w:r>
              <w:t xml:space="preserve">internal (post-recompute)</w:t>
            </w:r>
          </w:p>
        </w:tc>
        <w:tc>
          <w:tcPr/>
          <w:p>
            <w:pPr>
              <w:pStyle w:val="Compact"/>
            </w:pPr>
            <w:r>
              <w:t xml:space="preserve">TC-RISK-01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 growth decline</w:t>
            </w:r>
          </w:p>
        </w:tc>
        <w:tc>
          <w:tcPr/>
          <w:p>
            <w:pPr>
              <w:pStyle w:val="Compact"/>
            </w:pPr>
            <w:r>
              <w:t xml:space="preserve">Identify sustained negative trend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atrisk/</w:t>
            </w:r>
            <w:r>
              <w:t xml:space="preserve"> </w:t>
            </w:r>
            <w:r>
              <w:t xml:space="preserve">→ risk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metric_snapshots (composite_score, snapshot_date)</w:t>
            </w:r>
          </w:p>
        </w:tc>
        <w:tc>
          <w:tcPr/>
          <w:p>
            <w:pPr>
              <w:pStyle w:val="Compact"/>
            </w:pPr>
            <w:r>
              <w:t xml:space="preserve">internal (trend eval)</w:t>
            </w:r>
          </w:p>
        </w:tc>
        <w:tc>
          <w:tcPr/>
          <w:p>
            <w:pPr>
              <w:pStyle w:val="Compact"/>
            </w:pPr>
            <w:r>
              <w:t xml:space="preserve">TC-RISK-02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Classify risk level</w:t>
            </w:r>
          </w:p>
        </w:tc>
        <w:tc>
          <w:tcPr/>
          <w:p>
            <w:pPr>
              <w:pStyle w:val="Compact"/>
            </w:pPr>
            <w:r>
              <w:t xml:space="preserve">Assign LOW/MEDIUM/HIGH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atrisk/AtRiskRules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t xml:space="preserve">internal (classification)</w:t>
            </w:r>
          </w:p>
        </w:tc>
        <w:tc>
          <w:tcPr/>
          <w:p>
            <w:pPr>
              <w:pStyle w:val="Compact"/>
            </w:pPr>
            <w:r>
              <w:t xml:space="preserve">TC-RISK-03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alert / notify</w:t>
            </w:r>
          </w:p>
        </w:tc>
        <w:tc>
          <w:tcPr/>
          <w:p>
            <w:pPr>
              <w:pStyle w:val="Compact"/>
            </w:pPr>
            <w:r>
              <w:t xml:space="preserve">Create alert; surface to teacher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reminders/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 (acknowledged)</w:t>
            </w:r>
          </w:p>
        </w:tc>
        <w:tc>
          <w:tcPr/>
          <w:p>
            <w:pPr>
              <w:pStyle w:val="Compact"/>
            </w:pPr>
            <w:r>
              <w:t xml:space="preserve">served via dashboard / at-risk list</w:t>
            </w:r>
          </w:p>
        </w:tc>
        <w:tc>
          <w:tcPr/>
          <w:p>
            <w:pPr>
              <w:pStyle w:val="Compact"/>
            </w:pPr>
            <w:r>
              <w:t xml:space="preserve">TC-RISK-04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at-risk list</w:t>
            </w:r>
          </w:p>
        </w:tc>
        <w:tc>
          <w:tcPr/>
          <w:p>
            <w:pPr>
              <w:pStyle w:val="Compact"/>
            </w:pPr>
            <w:r>
              <w:t xml:space="preserve">Filterable list by role/group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student_metrics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/api/analytics/at-risk</w:t>
            </w:r>
          </w:p>
        </w:tc>
        <w:tc>
          <w:tcPr/>
          <w:p>
            <w:pPr>
              <w:pStyle w:val="Compact"/>
            </w:pPr>
            <w:r>
              <w:t xml:space="preserve">TC-RISK-05</w:t>
            </w:r>
          </w:p>
        </w:tc>
      </w:tr>
    </w:tbl>
    <w:bookmarkEnd w:id="109"/>
    <w:bookmarkStart w:id="113" w:name="p6-admin-monitoring"/>
    <w:p>
      <w:pPr>
        <w:pStyle w:val="Heading4"/>
      </w:pPr>
      <w:r>
        <w:t xml:space="preserve">P6 — Admin Monitoring</w:t>
      </w:r>
    </w:p>
    <w:p>
      <w:pPr>
        <w:pStyle w:val="FirstParagraph"/>
      </w:pPr>
      <w:r>
        <w:t xml:space="preserve">The Admin Monitoring process governs users, the scoring formula, teacher activity and system-wide</w:t>
      </w:r>
      <w:r>
        <w:t xml:space="preserve"> </w:t>
      </w:r>
      <w:r>
        <w:t xml:space="preserve">analytics, spanning both reads (dashboard, activity review) and writes (user management, formula</w:t>
      </w:r>
      <w:r>
        <w:t xml:space="preserve"> </w:t>
      </w:r>
      <w:r>
        <w:t xml:space="preserve">configuration). Its decisive sub-process is</w:t>
      </w:r>
      <w:r>
        <w:t xml:space="preserve"> </w:t>
      </w:r>
      <w:r>
        <w:rPr>
          <w:b/>
          <w:bCs/>
        </w:rPr>
        <w:t xml:space="preserve">configuration management</w:t>
      </w:r>
      <w:r>
        <w:t xml:space="preserve">: changing formula weights must</w:t>
      </w:r>
      <w:r>
        <w:t xml:space="preserve"> </w:t>
      </w:r>
      <w:r>
        <w:t xml:space="preserve">first validate that they</w:t>
      </w:r>
      <w:r>
        <w:t xml:space="preserve"> </w:t>
      </w:r>
      <w:r>
        <w:rPr>
          <w:b/>
          <w:bCs/>
        </w:rPr>
        <w:t xml:space="preserve">sum to 1.0</w:t>
      </w:r>
      <w:r>
        <w:t xml:space="preserve">, then trigger a</w:t>
      </w:r>
      <w:r>
        <w:t xml:space="preserve"> </w:t>
      </w:r>
      <w:r>
        <w:rPr>
          <w:b/>
          <w:bCs/>
        </w:rPr>
        <w:t xml:space="preserve">system-wide recompute</w:t>
      </w:r>
      <w:r>
        <w:t xml:space="preserve">, then write an</w:t>
      </w:r>
      <w:r>
        <w:t xml:space="preserve"> </w:t>
      </w:r>
      <w:r>
        <w:rPr>
          <w:b/>
          <w:bCs/>
        </w:rPr>
        <w:t xml:space="preserve">audit entry</w:t>
      </w:r>
      <w:r>
        <w:t xml:space="preserve"> </w:t>
      </w:r>
      <w:r>
        <w:t xml:space="preserve">— a cascade (config change → validate → bulk recompute → audit) not stated in the</w:t>
      </w:r>
      <w:r>
        <w:t xml:space="preserve"> </w:t>
      </w:r>
      <w:r>
        <w:t xml:space="preserve">original description. The requirement was governed, auditable configuration of the scoring policy (FR6,</w:t>
      </w:r>
      <w:r>
        <w:t xml:space="preserve"> </w:t>
      </w:r>
      <w:r>
        <w:t xml:space="preserve">NFR1); the design decision was to separate</w:t>
      </w:r>
      <w:r>
        <w:t xml:space="preserve"> </w:t>
      </w:r>
      <w:r>
        <w:rPr>
          <w:rStyle w:val="VerbatimChar"/>
        </w:rPr>
        <w:t xml:space="preserve">formula_config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, validate the weight</w:t>
      </w:r>
      <w:r>
        <w:t xml:space="preserve"> </w:t>
      </w:r>
      <w:r>
        <w:t xml:space="preserve">sum at the boundary, run</w:t>
      </w:r>
      <w:r>
        <w:t xml:space="preserve"> </w:t>
      </w:r>
      <w:r>
        <w:rPr>
          <w:rStyle w:val="VerbatimChar"/>
        </w:rPr>
        <w:t xml:space="preserve">recomputeAll()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/api/metrics/recompute-all</w:t>
      </w:r>
      <w:r>
        <w:t xml:space="preserve">, paged 1000 students per</w:t>
      </w:r>
      <w:r>
        <w:t xml:space="preserve"> </w:t>
      </w:r>
      <w:r>
        <w:t xml:space="preserve">transaction) and write an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record of old and new values on every admin write; the rationale</w:t>
      </w:r>
      <w:r>
        <w:t xml:space="preserve"> </w:t>
      </w:r>
      <w:r>
        <w:t xml:space="preserve">is that the formula is a slowly changing dimension whose every change must be reversible and explainable,</w:t>
      </w:r>
      <w:r>
        <w:t xml:space="preserve"> </w:t>
      </w:r>
      <w:r>
        <w:t xml:space="preserve">so it is stored apart from the cache it drives and never altered silently.</w:t>
      </w:r>
    </w:p>
    <w:p>
      <w:pPr>
        <w:pStyle w:val="BodyText"/>
      </w:pPr>
      <w:r>
        <w:rPr>
          <w:b/>
          <w:bCs/>
        </w:rPr>
        <w:t xml:space="preserve">Pools:</w:t>
      </w:r>
      <w:r>
        <w:t xml:space="preserve"> </w:t>
      </w:r>
      <w:r>
        <w:t xml:space="preserve">Admin · System ·</w:t>
      </w:r>
      <w:r>
        <w:t xml:space="preserve"> </w:t>
      </w:r>
      <w:r>
        <w:rPr>
          <w:b/>
          <w:bCs/>
        </w:rPr>
        <w:t xml:space="preserve">Happy path:</w:t>
      </w:r>
      <w:r>
        <w:t xml:space="preserve"> </w:t>
      </w:r>
      <w:r>
        <w:t xml:space="preserve">open dashboard → aggregate KPIs → manage users/formula → validate → persist → cascade recompute → audit ·</w:t>
      </w:r>
      <w:r>
        <w:t xml:space="preserve"> </w:t>
      </w:r>
      <w:r>
        <w:rPr>
          <w:b/>
          <w:bCs/>
        </w:rPr>
        <w:t xml:space="preserve">Gateways:</w:t>
      </w:r>
      <w:r>
        <w:t xml:space="preserve"> </w:t>
      </w:r>
      <w:r>
        <w:rPr>
          <w:i/>
          <w:iCs/>
        </w:rPr>
        <w:t xml:space="preserve">role = ADMIN?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weights sum to 1.0?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Exceptions:</w:t>
      </w:r>
      <w:r>
        <w:t xml:space="preserve"> </w:t>
      </w:r>
      <w:r>
        <w:t xml:space="preserve">403; 400; audit on every write ·</w:t>
      </w:r>
      <w:r>
        <w:t xml:space="preserve"> </w:t>
      </w:r>
      <w:r>
        <w:rPr>
          <w:b/>
          <w:bCs/>
        </w:rPr>
        <w:t xml:space="preserve">Maps to:</w:t>
      </w:r>
      <w:r>
        <w:t xml:space="preserve"> </w:t>
      </w:r>
      <w:r>
        <w:rPr>
          <w:rStyle w:val="VerbatimChar"/>
        </w:rPr>
        <w:t xml:space="preserve">analytics/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organization/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settings/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audit/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users/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groups/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courses/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institution_settings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formula_config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academic_terms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/api/analytics/admin/dashboard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GET/PATCH /api/settings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/api/metrics/formula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/api/users</w:t>
      </w:r>
      <w:r>
        <w:t xml:space="preserve"> </w:t>
      </w:r>
      <w:r>
        <w:t xml:space="preserve">CRUD</w:t>
      </w:r>
    </w:p>
    <w:p>
      <w:pPr>
        <w:pStyle w:val="BodyText"/>
        <w:jc w:val="center"/>
      </w:pPr>
      <w:r>
        <w:drawing>
          <wp:inline>
            <wp:extent cx="3941064" cy="6672313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_assets/figure-4-1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064" cy="6672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4.11 — Admin Monitoring (BPMN 2.0 approximation).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author.)</w:t>
      </w:r>
    </w:p>
    <w:p>
      <w:pPr>
        <w:pStyle w:val="BodyText"/>
      </w:pPr>
      <w:r>
        <w:rPr>
          <w:b/>
          <w:bCs/>
        </w:rPr>
        <w:t xml:space="preserve">Table 4.6 — Traceability matrix: Admin Monitoring.</w:t>
      </w:r>
      <w:r>
        <w:t xml:space="preserve"> </w:t>
      </w:r>
      <w:r>
        <w:rPr>
          <w:i/>
          <w:iCs/>
        </w:rPr>
        <w:t xml:space="preserve">(Source: author; verified against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analytics/AnalyticsController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settings/SettingsController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metrics/MetricsController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users/UserController</w:t>
      </w:r>
      <w:r>
        <w:rPr>
          <w:i/>
          <w:iCs/>
        </w:rPr>
        <w:t xml:space="preserve">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BPMN activity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Functional requirement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Architecture module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Database entity/field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API endpoint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system dashboard</w:t>
            </w:r>
          </w:p>
        </w:tc>
        <w:tc>
          <w:tcPr/>
          <w:p>
            <w:pPr>
              <w:pStyle w:val="Compact"/>
            </w:pPr>
            <w:r>
              <w:t xml:space="preserve">Aggregated system-wide analytics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student_metrics</w:t>
            </w:r>
            <w:r>
              <w:t xml:space="preserve"> </w:t>
            </w:r>
            <w:r>
              <w:t xml:space="preserve">(aggregated),</w:t>
            </w:r>
            <w:r>
              <w:t xml:space="preserve"> </w:t>
            </w:r>
            <w:r>
              <w:rPr>
                <w:rStyle w:val="VerbatimChar"/>
              </w:rPr>
              <w:t xml:space="preserve">groups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courses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/api/analytics/admin/dashboard</w:t>
            </w:r>
          </w:p>
        </w:tc>
        <w:tc>
          <w:tcPr/>
          <w:p>
            <w:pPr>
              <w:pStyle w:val="Compact"/>
            </w:pPr>
            <w:r>
              <w:t xml:space="preserve">TC-ADMIN-01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users</w:t>
            </w:r>
          </w:p>
        </w:tc>
        <w:tc>
          <w:tcPr/>
          <w:p>
            <w:pPr>
              <w:pStyle w:val="Compact"/>
            </w:pPr>
            <w:r>
              <w:t xml:space="preserve">Create/update/suspend accounts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 (email, role)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GET/POST/PATCH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/{id}/suspend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TC-ADMIN-02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scoring formula</w:t>
            </w:r>
          </w:p>
        </w:tc>
        <w:tc>
          <w:tcPr/>
          <w:p>
            <w:pPr>
              <w:pStyle w:val="Compact"/>
            </w:pPr>
            <w:r>
              <w:t xml:space="preserve">Adjust weights; validate sum = 1.0; recompute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settings/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formula_config (weight_*)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/api/metrics/formula</w:t>
            </w:r>
          </w:p>
        </w:tc>
        <w:tc>
          <w:tcPr/>
          <w:p>
            <w:pPr>
              <w:pStyle w:val="Compact"/>
            </w:pPr>
            <w:r>
              <w:t xml:space="preserve">TC-ADMIN-03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admin actions</w:t>
            </w:r>
          </w:p>
        </w:tc>
        <w:tc>
          <w:tcPr/>
          <w:p>
            <w:pPr>
              <w:pStyle w:val="Compact"/>
            </w:pPr>
            <w:r>
              <w:t xml:space="preserve">Audit entry on every admin 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audit/AuditLogService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 (actor, action, payload)</w:t>
            </w:r>
          </w:p>
        </w:tc>
        <w:tc>
          <w:tcPr/>
          <w:p>
            <w:pPr>
              <w:pStyle w:val="Compact"/>
            </w:pPr>
            <w:r>
              <w:t xml:space="preserve">internal (on every write)</w:t>
            </w:r>
          </w:p>
        </w:tc>
        <w:tc>
          <w:tcPr/>
          <w:p>
            <w:pPr>
              <w:pStyle w:val="Compact"/>
            </w:pPr>
            <w:r>
              <w:t xml:space="preserve">TC-ADMIN-04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teacher activity</w:t>
            </w:r>
          </w:p>
        </w:tc>
        <w:tc>
          <w:tcPr/>
          <w:p>
            <w:pPr>
              <w:pStyle w:val="Compact"/>
            </w:pPr>
            <w:r>
              <w:t xml:space="preserve">Per-teacher attendance/grade 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 (marked_by)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grades (graded_by)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/api/analytics/admin/dashboard</w:t>
            </w:r>
          </w:p>
        </w:tc>
        <w:tc>
          <w:tcPr/>
          <w:p>
            <w:pPr>
              <w:pStyle w:val="Compact"/>
            </w:pPr>
            <w:r>
              <w:t xml:space="preserve">TC-ADMIN-05</w:t>
            </w:r>
          </w:p>
        </w:tc>
      </w:tr>
    </w:tbl>
    <w:bookmarkEnd w:id="113"/>
    <w:bookmarkEnd w:id="114"/>
    <w:bookmarkStart w:id="118" w:name="security-design"/>
    <w:p>
      <w:pPr>
        <w:pStyle w:val="Heading3"/>
      </w:pPr>
      <w:r>
        <w:t xml:space="preserve">4.3.5 Security Design</w:t>
      </w:r>
    </w:p>
    <w:p>
      <w:pPr>
        <w:pStyle w:val="FirstParagraph"/>
      </w:pPr>
      <w:r>
        <w:t xml:space="preserve">Security is a cross-cutting requirement (NFR2) realised as a layered access-control model implementing</w:t>
      </w:r>
      <w:r>
        <w:t xml:space="preserve"> </w:t>
      </w:r>
      <w:r>
        <w:t xml:space="preserve">role-based access control (RBAC; Sandhu</w:t>
      </w:r>
      <w:r>
        <w:t xml:space="preserve"> </w:t>
      </w:r>
      <w:r>
        <w:rPr>
          <w:i/>
          <w:iCs/>
        </w:rPr>
        <w:t xml:space="preserve">et al.</w:t>
      </w:r>
      <w:r>
        <w:t xml:space="preserve">, 1996) over stateless JWT authentication. Every request</w:t>
      </w:r>
      <w:r>
        <w:t xml:space="preserve"> </w:t>
      </w:r>
      <w:r>
        <w:t xml:space="preserve">passes through the</w:t>
      </w:r>
      <w:r>
        <w:t xml:space="preserve"> </w:t>
      </w:r>
      <w:r>
        <w:rPr>
          <w:rStyle w:val="VerbatimChar"/>
        </w:rPr>
        <w:t xml:space="preserve">JwtAuthenticationFilter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OncePerRequestFilter</w:t>
      </w:r>
      <w:r>
        <w:t xml:space="preserve">), which reads the bearer token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or an httpOnly cookie, validates it through</w:t>
      </w:r>
      <w:r>
        <w:t xml:space="preserve"> </w:t>
      </w:r>
      <w:r>
        <w:rPr>
          <w:rStyle w:val="VerbatimChar"/>
        </w:rPr>
        <w:t xml:space="preserve">JwtTokenProvider.validate()</w:t>
      </w:r>
      <w:r>
        <w:t xml:space="preserve"> </w:t>
      </w:r>
      <w:r>
        <w:t xml:space="preserve">(HS256, signing key from the environment), loads the user via</w:t>
      </w:r>
      <w:r>
        <w:t xml:space="preserve"> </w:t>
      </w:r>
      <w:r>
        <w:rPr>
          <w:rStyle w:val="VerbatimChar"/>
        </w:rPr>
        <w:t xml:space="preserve">CustomUserDetailsService</w:t>
      </w:r>
      <w:r>
        <w:t xml:space="preserve"> </w:t>
      </w:r>
      <w:r>
        <w:t xml:space="preserve">and populates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SecurityContextHolder</w:t>
      </w:r>
      <w:r>
        <w:t xml:space="preserve">; the chain is shown in Figure 4.15. Three further design decisions support</w:t>
      </w:r>
      <w:r>
        <w:t xml:space="preserve"> </w:t>
      </w:r>
      <w:r>
        <w:t xml:space="preserve">the model. Passwords are hashed with</w:t>
      </w:r>
      <w:r>
        <w:t xml:space="preserve"> </w:t>
      </w:r>
      <w:r>
        <w:rPr>
          <w:b/>
          <w:bCs/>
        </w:rPr>
        <w:t xml:space="preserve">BCrypt (strength 10)</w:t>
      </w:r>
      <w:r>
        <w:t xml:space="preserve">, never stored or compared in plaintext.</w:t>
      </w:r>
      <w:r>
        <w:t xml:space="preserve"> </w:t>
      </w:r>
      <w:r>
        <w:t xml:space="preserve">Coarse-grained role checks use method security (</w:t>
      </w:r>
      <w:r>
        <w:rPr>
          <w:rStyle w:val="VerbatimChar"/>
        </w:rPr>
        <w:t xml:space="preserve">@PreAuthorize("hasRole('ADMIN')")</w:t>
      </w:r>
      <w:r>
        <w:t xml:space="preserve">) over a role</w:t>
      </w:r>
      <w:r>
        <w:t xml:space="preserve"> </w:t>
      </w:r>
      <w:r>
        <w:t xml:space="preserve">hierarchy</w:t>
      </w:r>
      <w:r>
        <w:t xml:space="preserve"> </w:t>
      </w:r>
      <w:r>
        <w:rPr>
          <w:rStyle w:val="VerbatimChar"/>
        </w:rPr>
        <w:t xml:space="preserve">ADMIN &gt; TEACHER &gt; STUDENT</w:t>
      </w:r>
      <w:r>
        <w:t xml:space="preserve">, while the harder</w:t>
      </w:r>
      <w:r>
        <w:t xml:space="preserve"> </w:t>
      </w:r>
      <w:r>
        <w:rPr>
          <w:b/>
          <w:bCs/>
        </w:rPr>
        <w:t xml:space="preserve">data-level authorisation</w:t>
      </w:r>
      <w:r>
        <w:t xml:space="preserve"> </w:t>
      </w:r>
      <w:r>
        <w:t xml:space="preserve">— a teacher seeing</w:t>
      </w:r>
      <w:r>
        <w:t xml:space="preserve"> </w:t>
      </w:r>
      <w:r>
        <w:t xml:space="preserve">only their own groups, a student seeing only themselves — lives deliberately in</w:t>
      </w:r>
      <w:r>
        <w:t xml:space="preserve"> </w:t>
      </w:r>
      <w:r>
        <w:rPr>
          <w:b/>
          <w:bCs/>
        </w:rPr>
        <w:t xml:space="preserve">service-layer query</w:t>
      </w:r>
      <w:r>
        <w:rPr>
          <w:b/>
          <w:bCs/>
        </w:rPr>
        <w:t xml:space="preserve"> </w:t>
      </w:r>
      <w:r>
        <w:rPr>
          <w:b/>
          <w:bCs/>
        </w:rPr>
        <w:t xml:space="preserve">filters</w:t>
      </w:r>
      <w:r>
        <w:t xml:space="preserve"> </w:t>
      </w:r>
      <w:r>
        <w:t xml:space="preserve">rather than in annotations, because it is the single hardest correctness concern in a</w:t>
      </w:r>
      <w:r>
        <w:t xml:space="preserve"> </w:t>
      </w:r>
      <w:r>
        <w:t xml:space="preserve">multi-role system and is best kept in one place per feature. Finally, the token model pairs a</w:t>
      </w:r>
      <w:r>
        <w:t xml:space="preserve"> </w:t>
      </w:r>
      <w:r>
        <w:t xml:space="preserve">short-lived access JWT with opaque, rotating refresh tokens stored SHA-256-hashed in the database;</w:t>
      </w:r>
      <w:r>
        <w:t xml:space="preserve"> </w:t>
      </w:r>
      <w:r>
        <w:rPr>
          <w:rStyle w:val="VerbatimChar"/>
        </w:rPr>
        <w:t xml:space="preserve">POST /api/auth/refresh</w:t>
      </w:r>
      <w:r>
        <w:t xml:space="preserve"> </w:t>
      </w:r>
      <w:r>
        <w:t xml:space="preserve">rotates them single-use, and reuse of a consumed token revokes the whole family</w:t>
      </w:r>
      <w:r>
        <w:t xml:space="preserve"> </w:t>
      </w:r>
      <w:r>
        <w:t xml:space="preserve">— a design decision taken to contain token theft. The public surface is limited to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/swagger-ui/**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/v3/api-docs/**</w:t>
      </w:r>
      <w:r>
        <w:t xml:space="preserve">; CSRF is disabled</w:t>
      </w:r>
      <w:r>
        <w:t xml:space="preserve"> </w:t>
      </w:r>
      <w:r>
        <w:t xml:space="preserve">(the stateless JWT covers it) and CORS is restricted to the frontend origin.</w:t>
      </w:r>
    </w:p>
    <w:p>
      <w:pPr>
        <w:pStyle w:val="BodyText"/>
        <w:jc w:val="center"/>
      </w:pPr>
      <w:r>
        <w:drawing>
          <wp:inline>
            <wp:extent cx="2176272" cy="6677543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_assets/figure-4-15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6677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4.15 — Security filter chain.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author, derived from</w:t>
      </w:r>
      <w:r>
        <w:rPr>
          <w:i/>
          <w:iCs/>
          <w:color w:val="404040"/>
          <w:sz w:val="19"/>
        </w:rPr>
        <w:t xml:space="preserve"> </w:t>
      </w:r>
      <w:r>
        <w:rPr>
          <w:rStyle w:val="VerbatimChar"/>
          <w:i/>
          <w:iCs/>
          <w:color w:val="404040"/>
          <w:sz w:val="19"/>
        </w:rPr>
        <w:t xml:space="preserve">ARCHITECTURE.md</w:t>
      </w:r>
      <w:r>
        <w:rPr>
          <w:i/>
          <w:iCs/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§5.)</w:t>
      </w:r>
    </w:p>
    <w:bookmarkEnd w:id="118"/>
    <w:bookmarkStart w:id="128" w:name="Xba1c8a03d16c133bc31502ffd99a5e68429136f"/>
    <w:p>
      <w:pPr>
        <w:pStyle w:val="Heading3"/>
      </w:pPr>
      <w:r>
        <w:t xml:space="preserve">4.3.6 Key Interactions and the Process → Module Map</w:t>
      </w:r>
    </w:p>
    <w:p>
      <w:pPr>
        <w:pStyle w:val="FirstParagraph"/>
      </w:pPr>
      <w:r>
        <w:t xml:space="preserve">Across all six processes, each maps to one primary architecture module with secondary service</w:t>
      </w:r>
      <w:r>
        <w:t xml:space="preserve"> </w:t>
      </w:r>
      <w:r>
        <w:t xml:space="preserve">dependencies, summarised in Table 4.7. Three of the processes are detailed further as UML sequence</w:t>
      </w:r>
      <w:r>
        <w:t xml:space="preserve"> </w:t>
      </w:r>
      <w:r>
        <w:t xml:space="preserve">diagrams — login and JWT issuance (Figure 4.12), the bulk-attendance → synchronous-recompute path</w:t>
      </w:r>
      <w:r>
        <w:t xml:space="preserve"> </w:t>
      </w:r>
      <w:r>
        <w:t xml:space="preserve">(Figure 4.13) and the dashboard composition (Figure 4.14) — which make explicit the ordering and the</w:t>
      </w:r>
      <w:r>
        <w:t xml:space="preserve"> </w:t>
      </w:r>
      <w:r>
        <w:t xml:space="preserve">service collaborations that the process models abstract away.</w:t>
      </w:r>
    </w:p>
    <w:p>
      <w:pPr>
        <w:pStyle w:val="BodyText"/>
      </w:pPr>
      <w:r>
        <w:rPr>
          <w:b/>
          <w:bCs/>
        </w:rPr>
        <w:t xml:space="preserve">Table 4.7 — BPMN process → architecture module mapping.</w:t>
      </w:r>
      <w:r>
        <w:t xml:space="preserve"> </w:t>
      </w:r>
      <w:r>
        <w:rPr>
          <w:i/>
          <w:iCs/>
        </w:rPr>
        <w:t xml:space="preserve">(Source: author, reconciled with the real package names.)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BPMN process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Primary module (package)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Secondary 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Authentication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</w:t>
            </w:r>
            <w:r>
              <w:t xml:space="preserve"> </w:t>
            </w:r>
            <w:r>
              <w:t xml:space="preserve">(JWT, filter),</w:t>
            </w:r>
            <w:r>
              <w:t xml:space="preserve"> </w:t>
            </w:r>
            <w:r>
              <w:rPr>
                <w:rStyle w:val="VerbatimChar"/>
              </w:rPr>
              <w:t xml:space="preserve">config/SecurityConfig</w:t>
            </w:r>
            <w:r>
              <w:t xml:space="preserve">, frontend router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lessons/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metrics/MetricsService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Evaluation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behavior/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gradebook/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gradecategories/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rubrics/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metrics/</w:t>
            </w:r>
            <w:r>
              <w:t xml:space="preserve"> </w:t>
            </w:r>
            <w:r>
              <w:t xml:space="preserve">(engine + formula)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Analytics Generation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students/</w:t>
            </w:r>
            <w:r>
              <w:t xml:space="preserve"> </w:t>
            </w:r>
            <w:r>
              <w:t xml:space="preserve">(dashboard service)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metrics/</w:t>
            </w:r>
            <w:r>
              <w:t xml:space="preserve">, snapshot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At-Risk Student Detection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atrisk/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reminders/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Monitoring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settings/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organization/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metrics/</w:t>
            </w:r>
          </w:p>
        </w:tc>
      </w:tr>
    </w:tbl>
    <w:p>
      <w:pPr>
        <w:pStyle w:val="BodyText"/>
        <w:jc w:val="center"/>
      </w:pPr>
      <w:r>
        <w:drawing>
          <wp:inline>
            <wp:extent cx="5334000" cy="3380381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_assets/figure-4-12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0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4.12 — Login &amp; JWT issuance (sequence).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author.)</w:t>
      </w:r>
    </w:p>
    <w:p>
      <w:pPr>
        <w:pStyle w:val="BodyText"/>
        <w:jc w:val="center"/>
      </w:pPr>
      <w:r>
        <w:drawing>
          <wp:inline>
            <wp:extent cx="5334000" cy="2514979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_assets/figure-4-13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4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4.13 — Bulk attendance → synchronous recompute (sequence).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author.)</w:t>
      </w:r>
    </w:p>
    <w:p>
      <w:pPr>
        <w:pStyle w:val="BodyText"/>
        <w:jc w:val="center"/>
      </w:pPr>
      <w:r>
        <w:drawing>
          <wp:inline>
            <wp:extent cx="5334000" cy="2110085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_assets/figure-4-14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0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4.14 — Student dashboard composition (sequence).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author.)</w:t>
      </w:r>
    </w:p>
    <w:bookmarkEnd w:id="128"/>
    <w:bookmarkEnd w:id="129"/>
    <w:bookmarkStart w:id="136" w:name="comparison-of-patterns-m4"/>
    <w:p>
      <w:pPr>
        <w:pStyle w:val="Heading2"/>
      </w:pPr>
      <w:r>
        <w:t xml:space="preserve">4.4 Comparison of Patterns (M4)</w:t>
      </w:r>
    </w:p>
    <w:p>
      <w:pPr>
        <w:pStyle w:val="FirstParagraph"/>
      </w:pPr>
      <w:r>
        <w:t xml:space="preserve">The six processes do not present equal design complexity, and comparing them reveals where the design</w:t>
      </w:r>
      <w:r>
        <w:t xml:space="preserve"> </w:t>
      </w:r>
      <w:r>
        <w:t xml:space="preserve">effort and the most consequential decisions were concentrated. Two comparisons are drawn: process</w:t>
      </w:r>
      <w:r>
        <w:t xml:space="preserve"> </w:t>
      </w:r>
      <w:r>
        <w:t xml:space="preserve">complexity (Figure 4.16) and requirement-to-artefact coverage (Figure 4.17).</w:t>
      </w:r>
    </w:p>
    <w:p>
      <w:pPr>
        <w:pStyle w:val="BodyText"/>
        <w:jc w:val="center"/>
      </w:pPr>
      <w:r>
        <w:drawing>
          <wp:inline>
            <wp:extent cx="5334000" cy="3434219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_assets/figure-4-16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4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4.16 — Process-complexity comparison across the six core workflows.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author.)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 xml:space="preserve">Breakdown: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Process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Activities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Gateways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Exception paths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Authentication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Attendance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Evaluation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Analytics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 At-Risk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 Admin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p>
      <w:pPr>
        <w:pStyle w:val="BodyText"/>
        <w:jc w:val="center"/>
      </w:pPr>
      <w:r>
        <w:drawing>
          <wp:inline>
            <wp:extent cx="5334000" cy="3370459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_assets/figure-4-17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0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4.17 — Requirement→artefact coverage per process.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author.)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 xml:space="preserve">Breakdown: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Process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Modules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Entities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Endpoints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Authentication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Attendance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Evaluation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Analytics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 At-Risk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 Admin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</w:tbl>
    <w:p>
      <w:pPr>
        <w:pStyle w:val="BodyText"/>
      </w:pPr>
      <w:r>
        <w:t xml:space="preserve">Three reasoned conclusions follow about which processes were most design-critical. First, the</w:t>
      </w:r>
      <w:r>
        <w:t xml:space="preserve"> </w:t>
      </w:r>
      <w:r>
        <w:rPr>
          <w:b/>
          <w:bCs/>
        </w:rPr>
        <w:t xml:space="preserve">transactional processes with multiple input paths</w:t>
      </w:r>
      <w:r>
        <w:t xml:space="preserve"> </w:t>
      </w:r>
      <w:r>
        <w:t xml:space="preserve">(P2, P3) generate the highest density of gateways</w:t>
      </w:r>
      <w:r>
        <w:t xml:space="preserve"> </w:t>
      </w:r>
      <w:r>
        <w:t xml:space="preserve">and exception paths per activity, and P3 the highest entity count — confirming that the design effort</w:t>
      </w:r>
      <w:r>
        <w:t xml:space="preserve"> </w:t>
      </w:r>
      <w:r>
        <w:t xml:space="preserve">concentrates where conditional logic and exception handling are densest (Dumas</w:t>
      </w:r>
      <w:r>
        <w:t xml:space="preserve"> </w:t>
      </w:r>
      <w:r>
        <w:rPr>
          <w:i/>
          <w:iCs/>
        </w:rPr>
        <w:t xml:space="preserve">et al.</w:t>
      </w:r>
      <w:r>
        <w:t xml:space="preserve">, 2018), which is</w:t>
      </w:r>
      <w:r>
        <w:t xml:space="preserve"> </w:t>
      </w:r>
      <w:r>
        <w:t xml:space="preserve">exactly where an implicit requirement most easily slips into a defect. Second, the</w:t>
      </w:r>
      <w:r>
        <w:t xml:space="preserve"> </w:t>
      </w:r>
      <w:r>
        <w:rPr>
          <w:b/>
          <w:bCs/>
        </w:rPr>
        <w:t xml:space="preserve">governance and</w:t>
      </w:r>
      <w:r>
        <w:rPr>
          <w:b/>
          <w:bCs/>
        </w:rPr>
        <w:t xml:space="preserve"> </w:t>
      </w:r>
      <w:r>
        <w:rPr>
          <w:b/>
          <w:bCs/>
        </w:rPr>
        <w:t xml:space="preserve">analytical processes</w:t>
      </w:r>
      <w:r>
        <w:t xml:space="preserve"> </w:t>
      </w:r>
      <w:r>
        <w:t xml:space="preserve">(P5, P6) are most consequential not by</w:t>
      </w:r>
      <w:r>
        <w:t xml:space="preserve"> </w:t>
      </w:r>
      <w:r>
        <w:rPr>
          <w:i/>
          <w:iCs/>
        </w:rPr>
        <w:t xml:space="preserve">volume</w:t>
      </w:r>
      <w:r>
        <w:t xml:space="preserve"> </w:t>
      </w:r>
      <w:r>
        <w:t xml:space="preserve">of artefacts but by</w:t>
      </w:r>
      <w:r>
        <w:t xml:space="preserve"> </w:t>
      </w:r>
      <w:r>
        <w:rPr>
          <w:i/>
          <w:iCs/>
        </w:rPr>
        <w:t xml:space="preserve">kind</w:t>
      </w:r>
      <w:r>
        <w:t xml:space="preserve">: their</w:t>
      </w:r>
      <w:r>
        <w:t xml:space="preserve"> </w:t>
      </w:r>
      <w:r>
        <w:t xml:space="preserve">gateways encode configurable business rules (the weight-sum check, the risk threshold) rather than</w:t>
      </w:r>
      <w:r>
        <w:t xml:space="preserve"> </w:t>
      </w:r>
      <w:r>
        <w:t xml:space="preserve">simple data operations, and it is these processes that converted an implicit policy into a configuration</w:t>
      </w:r>
      <w:r>
        <w:t xml:space="preserve"> </w:t>
      </w:r>
      <w:r>
        <w:t xml:space="preserve">table and an audit obligation — the decisions with the longest-lived effect on trust and governance.</w:t>
      </w:r>
      <w:r>
        <w:t xml:space="preserve"> </w:t>
      </w:r>
      <w:r>
        <w:t xml:space="preserve">Third, several activities in P4 and P6 translate to</w:t>
      </w:r>
      <w:r>
        <w:t xml:space="preserve"> </w:t>
      </w:r>
      <w:r>
        <w:rPr>
          <w:b/>
          <w:bCs/>
        </w:rPr>
        <w:t xml:space="preserve">internal service calls rather than external</w:t>
      </w:r>
      <w:r>
        <w:rPr>
          <w:b/>
          <w:bCs/>
        </w:rPr>
        <w:t xml:space="preserve"> </w:t>
      </w:r>
      <w:r>
        <w:rPr>
          <w:b/>
          <w:bCs/>
        </w:rPr>
        <w:t xml:space="preserve">endpoints</w:t>
      </w:r>
      <w:r>
        <w:t xml:space="preserve">, demonstrating that not every workflow step maps to an API surface — some map to intra-module</w:t>
      </w:r>
      <w:r>
        <w:t xml:space="preserve"> </w:t>
      </w:r>
      <w:r>
        <w:t xml:space="preserve">dependencies, which is itself a finding about how analytical composition is best located behind a single</w:t>
      </w:r>
      <w:r>
        <w:t xml:space="preserve"> </w:t>
      </w:r>
      <w:r>
        <w:t xml:space="preserve">read endpoint. Taken together, the most design-critical processes were those rich in</w:t>
      </w:r>
      <w:r>
        <w:t xml:space="preserve"> </w:t>
      </w:r>
      <w:r>
        <w:rPr>
          <w:b/>
          <w:bCs/>
        </w:rPr>
        <w:t xml:space="preserve">decisions and</w:t>
      </w:r>
      <w:r>
        <w:rPr>
          <w:b/>
          <w:bCs/>
        </w:rPr>
        <w:t xml:space="preserve"> </w:t>
      </w:r>
      <w:r>
        <w:rPr>
          <w:b/>
          <w:bCs/>
        </w:rPr>
        <w:t xml:space="preserve">exceptions</w:t>
      </w:r>
      <w:r>
        <w:t xml:space="preserve"> </w:t>
      </w:r>
      <w:r>
        <w:t xml:space="preserve">(P2, P3) and those whose decisions were</w:t>
      </w:r>
      <w:r>
        <w:t xml:space="preserve"> </w:t>
      </w:r>
      <w:r>
        <w:rPr>
          <w:b/>
          <w:bCs/>
        </w:rPr>
        <w:t xml:space="preserve">configurable rules</w:t>
      </w:r>
      <w:r>
        <w:t xml:space="preserve"> </w:t>
      </w:r>
      <w:r>
        <w:t xml:space="preserve">(P5, P6); the read-oriented</w:t>
      </w:r>
      <w:r>
        <w:t xml:space="preserve"> </w:t>
      </w:r>
      <w:r>
        <w:t xml:space="preserve">P4 demanded least at the requirements level but most at the</w:t>
      </w:r>
      <w:r>
        <w:t xml:space="preserve"> </w:t>
      </w:r>
      <w:r>
        <w:rPr>
          <w:i/>
          <w:iCs/>
        </w:rPr>
        <w:t xml:space="preserve">architectural</w:t>
      </w:r>
      <w:r>
        <w:t xml:space="preserve"> </w:t>
      </w:r>
      <w:r>
        <w:t xml:space="preserve">level, where it justified the</w:t>
      </w:r>
      <w:r>
        <w:t xml:space="preserve"> </w:t>
      </w:r>
      <w:r>
        <w:t xml:space="preserve">read-model/snapshot split that keeps analytical reads fast. These patterns are interpreted against the</w:t>
      </w:r>
      <w:r>
        <w:t xml:space="preserve"> </w:t>
      </w:r>
      <w:r>
        <w:t xml:space="preserve">research questions in Chapter 5.</w:t>
      </w:r>
    </w:p>
    <w:bookmarkEnd w:id="136"/>
    <w:bookmarkEnd w:id="137"/>
    <w:bookmarkStart w:id="157" w:name="chapter-5-discussion"/>
    <w:p>
      <w:pPr>
        <w:pStyle w:val="Heading1"/>
        <w:pageBreakBefore/>
      </w:pPr>
      <w:r>
        <w:t xml:space="preserve">Chapter 5 — Discussion</w:t>
      </w:r>
    </w:p>
    <w:p>
      <w:pPr>
        <w:pStyle w:val="FirstParagraph"/>
      </w:pPr>
      <w:r>
        <w:rPr>
          <w:i/>
          <w:iCs/>
        </w:rPr>
        <w:t xml:space="preserve">Addresses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LO3 — D3</w:t>
      </w:r>
    </w:p>
    <w:bookmarkStart w:id="138" w:name="interpretation-of-findings"/>
    <w:p>
      <w:pPr>
        <w:pStyle w:val="Heading2"/>
      </w:pPr>
      <w:r>
        <w:t xml:space="preserve">5.1 Interpretation of Findings</w:t>
      </w:r>
    </w:p>
    <w:p>
      <w:pPr>
        <w:pStyle w:val="FirstParagraph"/>
      </w:pPr>
      <w:r>
        <w:t xml:space="preserve">This section interprets the system analysis, design and implementation of Chapter 4 by answering each</w:t>
      </w:r>
      <w:r>
        <w:t xml:space="preserve"> </w:t>
      </w:r>
      <w:r>
        <w:t xml:space="preserve">of the four research questions in turn, drawing on the requirements specification, the architecture and</w:t>
      </w:r>
      <w:r>
        <w:t xml:space="preserve"> </w:t>
      </w:r>
      <w:r>
        <w:t xml:space="preserve">data model, the six core process models, the traceability matrices (Tables 4.1–4.7) and the test</w:t>
      </w:r>
      <w:r>
        <w:t xml:space="preserve"> </w:t>
      </w:r>
      <w:r>
        <w:t xml:space="preserve">evidence reported there.</w:t>
      </w:r>
    </w:p>
    <w:p>
      <w:pPr>
        <w:pStyle w:val="BodyText"/>
      </w:pPr>
      <w:r>
        <w:rPr>
          <w:b/>
          <w:bCs/>
        </w:rPr>
        <w:t xml:space="preserve">RQ1 — What limitations in current student-evaluation and management processes can a web-based</w:t>
      </w:r>
      <w:r>
        <w:rPr>
          <w:b/>
          <w:bCs/>
        </w:rPr>
        <w:t xml:space="preserve"> </w:t>
      </w:r>
      <w:r>
        <w:rPr>
          <w:b/>
          <w:bCs/>
        </w:rPr>
        <w:t xml:space="preserve">information system address?</w:t>
      </w:r>
      <w:r>
        <w:t xml:space="preserve"> </w:t>
      </w:r>
      <w:r>
        <w:t xml:space="preserve">The findings demonstrate that EduMetric directly answers the five problems</w:t>
      </w:r>
      <w:r>
        <w:t xml:space="preserve"> </w:t>
      </w:r>
      <w:r>
        <w:t xml:space="preserve">set out in §1.2. The reliance on a single grade-point average is replaced by a transparent</w:t>
      </w:r>
      <w:r>
        <w:t xml:space="preserve"> </w:t>
      </w:r>
      <w:r>
        <w:rPr>
          <w:b/>
          <w:bCs/>
        </w:rPr>
        <w:t xml:space="preserve">composite</w:t>
      </w:r>
      <w:r>
        <w:rPr>
          <w:b/>
          <w:bCs/>
        </w:rPr>
        <w:t xml:space="preserve"> </w:t>
      </w:r>
      <w:r>
        <w:rPr>
          <w:b/>
          <w:bCs/>
        </w:rPr>
        <w:t xml:space="preserve">score</w:t>
      </w:r>
      <w:r>
        <w:t xml:space="preserve"> </w:t>
      </w:r>
      <w:r>
        <w:t xml:space="preserve">across seven weighted dimensions — grades, attendance, practical, behaviour, activity, growth</w:t>
      </w:r>
      <w:r>
        <w:t xml:space="preserve"> </w:t>
      </w:r>
      <w:r>
        <w:t xml:space="preserve">bonus and consistency bonus — so a learner strong in theory but weak in practical work is no longer</w:t>
      </w:r>
      <w:r>
        <w:t xml:space="preserve"> </w:t>
      </w:r>
      <w:r>
        <w:t xml:space="preserve">averaged into invisibility. Data fragmentation across spreadsheets is resolved by one PostgreSQL schema</w:t>
      </w:r>
      <w:r>
        <w:t xml:space="preserve"> </w:t>
      </w:r>
      <w:r>
        <w:t xml:space="preserve">in which</w:t>
      </w:r>
      <w:r>
        <w:t xml:space="preserve"> </w:t>
      </w:r>
      <w:r>
        <w:rPr>
          <w:rStyle w:val="VerbatimChar"/>
        </w:rPr>
        <w:t xml:space="preserve">grades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behavior_records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activity_records</w:t>
      </w:r>
      <w:r>
        <w:t xml:space="preserve"> </w:t>
      </w:r>
      <w:r>
        <w:t xml:space="preserve">feed a single denormalised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 </w:t>
      </w:r>
      <w:r>
        <w:t xml:space="preserve">record per student. Late identification is addressed by the continuous, multi-factor</w:t>
      </w:r>
      <w:r>
        <w:t xml:space="preserve"> </w:t>
      </w:r>
      <w:r>
        <w:t xml:space="preserve">at-risk detection process (P5), and the opacity of scoring by making the formula a configurable</w:t>
      </w:r>
      <w:r>
        <w:t xml:space="preserve"> </w:t>
      </w:r>
      <w:r>
        <w:rPr>
          <w:rStyle w:val="VerbatimChar"/>
        </w:rPr>
        <w:t xml:space="preserve">formula_config</w:t>
      </w:r>
      <w:r>
        <w:t xml:space="preserve"> </w:t>
      </w:r>
      <w:r>
        <w:t xml:space="preserve">entity rather than a hidden algorithm. Each limitation maps to a delivered module and a</w:t>
      </w:r>
      <w:r>
        <w:t xml:space="preserve"> </w:t>
      </w:r>
      <w:r>
        <w:t xml:space="preserve">passing test case, so the answer to RQ1 is evidential rather than aspirational.</w:t>
      </w:r>
    </w:p>
    <w:p>
      <w:pPr>
        <w:pStyle w:val="BodyText"/>
      </w:pPr>
      <w:r>
        <w:rPr>
          <w:b/>
          <w:bCs/>
        </w:rPr>
        <w:t xml:space="preserve">RQ2 — What functional modules and data model are required for a transparent, multi-dimensional</w:t>
      </w:r>
      <w:r>
        <w:rPr>
          <w:b/>
          <w:bCs/>
        </w:rPr>
        <w:t xml:space="preserve"> </w:t>
      </w:r>
      <w:r>
        <w:rPr>
          <w:b/>
          <w:bCs/>
        </w:rPr>
        <w:t xml:space="preserve">student performance analytics system?</w:t>
      </w:r>
      <w:r>
        <w:t xml:space="preserve"> </w:t>
      </w:r>
      <w:r>
        <w:t xml:space="preserve">Chapter 4 establishes the required module set as the six core</w:t>
      </w:r>
      <w:r>
        <w:t xml:space="preserve"> </w:t>
      </w:r>
      <w:r>
        <w:t xml:space="preserve">processes — authentication (P1), attendance management (P2), student evaluation (P3), student analytics</w:t>
      </w:r>
      <w:r>
        <w:t xml:space="preserve"> </w:t>
      </w:r>
      <w:r>
        <w:t xml:space="preserve">generation (P4), at-risk detection (P5) and admin monitoring (P6) — realised as vertical-slice packages</w:t>
      </w:r>
      <w:r>
        <w:t xml:space="preserve"> </w:t>
      </w:r>
      <w:r>
        <w:t xml:space="preserve">within a three-tier modular monolith. The required data model centres on a clear separation between the</w:t>
      </w:r>
      <w:r>
        <w:t xml:space="preserve"> </w:t>
      </w:r>
      <w:r>
        <w:t xml:space="preserve">immutable evidence tables (</w:t>
      </w:r>
      <w:r>
        <w:rPr>
          <w:rStyle w:val="VerbatimChar"/>
        </w:rPr>
        <w:t xml:space="preserve">grades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behavior_records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activity_records</w:t>
      </w:r>
      <w:r>
        <w:t xml:space="preserve">) and the</w:t>
      </w:r>
      <w:r>
        <w:t xml:space="preserve"> </w:t>
      </w:r>
      <w:r>
        <w:t xml:space="preserve">analytics layer (</w:t>
      </w:r>
      <w:r>
        <w:rPr>
          <w:rStyle w:val="VerbatimChar"/>
        </w:rPr>
        <w:t xml:space="preserve">formula_config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), confirmed by the ERD (Figure</w:t>
      </w:r>
      <w:r>
        <w:t xml:space="preserve"> </w:t>
      </w:r>
      <w:r>
        <w:t xml:space="preserve">4.5) and the Liquibase changelog. The metrics engine sits between them as a pure, side-effect-free</w:t>
      </w:r>
      <w:r>
        <w:t xml:space="preserve"> </w:t>
      </w:r>
      <w:r>
        <w:t xml:space="preserve">computation unit, with orchestration handled separately by</w:t>
      </w:r>
      <w:r>
        <w:t xml:space="preserve"> </w:t>
      </w:r>
      <w:r>
        <w:rPr>
          <w:rStyle w:val="VerbatimChar"/>
        </w:rPr>
        <w:t xml:space="preserve">MetricsService</w:t>
      </w:r>
      <w:r>
        <w:t xml:space="preserve">. The traceability matrices</w:t>
      </w:r>
      <w:r>
        <w:t xml:space="preserve"> </w:t>
      </w:r>
      <w:r>
        <w:t xml:space="preserve">(Tables 4.1–4.6) show that every requirement resolves to a named module, entity, endpoint and test,</w:t>
      </w:r>
      <w:r>
        <w:t xml:space="preserve"> </w:t>
      </w:r>
      <w:r>
        <w:t xml:space="preserve">which constitutes the concrete answer to RQ2.</w:t>
      </w:r>
    </w:p>
    <w:p>
      <w:pPr>
        <w:pStyle w:val="BodyText"/>
      </w:pPr>
      <w:r>
        <w:rPr>
          <w:b/>
          <w:bCs/>
        </w:rPr>
        <w:t xml:space="preserve">RQ3 — How can a web-based system improve the transparency, accuracy and accessibility of student</w:t>
      </w:r>
      <w:r>
        <w:rPr>
          <w:b/>
          <w:bCs/>
        </w:rPr>
        <w:t xml:space="preserve"> </w:t>
      </w:r>
      <w:r>
        <w:rPr>
          <w:b/>
          <w:bCs/>
        </w:rPr>
        <w:t xml:space="preserve">evaluation, attendance management and at-risk detection?</w:t>
      </w:r>
      <w:r>
        <w:t xml:space="preserve"> </w:t>
      </w:r>
      <w:r>
        <w:t xml:space="preserve">The findings evidence improvement on all</w:t>
      </w:r>
      <w:r>
        <w:t xml:space="preserve"> </w:t>
      </w:r>
      <w:r>
        <w:t xml:space="preserve">three counts.</w:t>
      </w:r>
      <w:r>
        <w:t xml:space="preserve"> </w:t>
      </w:r>
      <w:r>
        <w:rPr>
          <w:b/>
          <w:bCs/>
        </w:rPr>
        <w:t xml:space="preserve">Transparency</w:t>
      </w:r>
      <w:r>
        <w:t xml:space="preserve"> </w:t>
      </w:r>
      <w:r>
        <w:t xml:space="preserve">is achieved by the configurable composite-score formula, whose weights</w:t>
      </w:r>
      <w:r>
        <w:t xml:space="preserve"> </w:t>
      </w:r>
      <w:r>
        <w:t xml:space="preserve">sum to 1.0 and whose every recomputation writes an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entry, giving an auditable rationale for</w:t>
      </w:r>
      <w:r>
        <w:t xml:space="preserve"> </w:t>
      </w:r>
      <w:r>
        <w:t xml:space="preserve">each score rather than a black-box output.</w:t>
      </w:r>
      <w:r>
        <w:t xml:space="preserve"> </w:t>
      </w:r>
      <w:r>
        <w:rPr>
          <w:b/>
          <w:bCs/>
        </w:rPr>
        <w:t xml:space="preserve">Accuracy</w:t>
      </w:r>
      <w:r>
        <w:t xml:space="preserve"> </w:t>
      </w:r>
      <w:r>
        <w:t xml:space="preserve">is improved through synchronous metric recompute</w:t>
      </w:r>
      <w:r>
        <w:t xml:space="preserve"> </w:t>
      </w:r>
      <w:r>
        <w:t xml:space="preserve">— a write to attendance, a grade or a behaviour record recomputes the affected student’s metrics within</w:t>
      </w:r>
      <w:r>
        <w:t xml:space="preserve"> </w:t>
      </w:r>
      <w:r>
        <w:t xml:space="preserve">the same transaction — eliminating the in-flight divergence and stale-report problems that arise when</w:t>
      </w:r>
      <w:r>
        <w:t xml:space="preserve"> </w:t>
      </w:r>
      <w:r>
        <w:t xml:space="preserve">scoring is detached from data entry.</w:t>
      </w:r>
      <w:r>
        <w:t xml:space="preserve"> </w:t>
      </w:r>
      <w:r>
        <w:rPr>
          <w:b/>
          <w:bCs/>
        </w:rPr>
        <w:t xml:space="preserve">Accessibility</w:t>
      </w:r>
      <w:r>
        <w:t xml:space="preserve"> </w:t>
      </w:r>
      <w:r>
        <w:t xml:space="preserve">is improved by the read-model design of P4, in</w:t>
      </w:r>
      <w:r>
        <w:t xml:space="preserve"> </w:t>
      </w:r>
      <w:r>
        <w:t xml:space="preserve">which a single</w:t>
      </w:r>
      <w:r>
        <w:t xml:space="preserve"> </w:t>
      </w:r>
      <w:r>
        <w:rPr>
          <w:rStyle w:val="VerbatimChar"/>
        </w:rPr>
        <w:t xml:space="preserve">GET /api/students/{id}/dashboard</w:t>
      </w:r>
      <w:r>
        <w:t xml:space="preserve"> </w:t>
      </w:r>
      <w:r>
        <w:t xml:space="preserve">endpoint composes the learner’s current metrics,</w:t>
      </w:r>
      <w:r>
        <w:t xml:space="preserve"> </w:t>
      </w:r>
      <w:r>
        <w:t xml:space="preserve">growth trend, dimension breakdown and growth areas into one response, surfaced through a role-appropriate</w:t>
      </w:r>
      <w:r>
        <w:t xml:space="preserve"> </w:t>
      </w:r>
      <w:r>
        <w:t xml:space="preserve">web interface for student, teacher and admin alike. At-risk detection is rule-driven through</w:t>
      </w:r>
      <w:r>
        <w:t xml:space="preserve"> </w:t>
      </w:r>
      <w:r>
        <w:rPr>
          <w:rStyle w:val="VerbatimChar"/>
        </w:rPr>
        <w:t xml:space="preserve">at_risk_rules</w:t>
      </w:r>
      <w:r>
        <w:t xml:space="preserve"> </w:t>
      </w:r>
      <w:r>
        <w:t xml:space="preserve">and surfaced via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 turning a previously after-the-fact judgement into a</w:t>
      </w:r>
      <w:r>
        <w:t xml:space="preserve"> </w:t>
      </w:r>
      <w:r>
        <w:t xml:space="preserve">continuous, exception-driven signal.</w:t>
      </w:r>
    </w:p>
    <w:p>
      <w:pPr>
        <w:pStyle w:val="BodyText"/>
      </w:pPr>
      <w:r>
        <w:rPr>
          <w:b/>
          <w:bCs/>
        </w:rPr>
        <w:t xml:space="preserve">RQ4 — How should security, privacy and role-based access control be implemented to protect sensitive</w:t>
      </w:r>
      <w:r>
        <w:rPr>
          <w:b/>
          <w:bCs/>
        </w:rPr>
        <w:t xml:space="preserve"> </w:t>
      </w:r>
      <w:r>
        <w:rPr>
          <w:b/>
          <w:bCs/>
        </w:rPr>
        <w:t xml:space="preserve">student data?</w:t>
      </w:r>
      <w:r>
        <w:t xml:space="preserve"> </w:t>
      </w:r>
      <w:r>
        <w:t xml:space="preserve">The security design (§4.3.5) answers RQ4 through layered access control. Authentication</w:t>
      </w:r>
      <w:r>
        <w:t xml:space="preserve"> </w:t>
      </w:r>
      <w:r>
        <w:t xml:space="preserve">uses a short-lived access JWT (HS256) plus opaque, rotating, SHA-256-hashed refresh tokens, with</w:t>
      </w:r>
      <w:r>
        <w:t xml:space="preserve"> </w:t>
      </w:r>
      <w:r>
        <w:t xml:space="preserve">passwords stored under BCrypt. Authorisation operates at two levels: coarse role checks via</w:t>
      </w:r>
      <w:r>
        <w:t xml:space="preserve"> </w:t>
      </w:r>
      <w:r>
        <w:rPr>
          <w:rStyle w:val="VerbatimChar"/>
        </w:rPr>
        <w:t xml:space="preserve">@PreAuthorize</w:t>
      </w:r>
      <w:r>
        <w:t xml:space="preserve"> </w:t>
      </w:r>
      <w:r>
        <w:t xml:space="preserve">over a role hierarchy of</w:t>
      </w:r>
      <w:r>
        <w:t xml:space="preserve"> </w:t>
      </w:r>
      <w:r>
        <w:rPr>
          <w:rStyle w:val="VerbatimChar"/>
        </w:rPr>
        <w:t xml:space="preserve">ADMIN &gt; TEACHER &gt; STUDENT</w:t>
      </w:r>
      <w:r>
        <w:t xml:space="preserve">, and fine-grained, data-level</w:t>
      </w:r>
      <w:r>
        <w:t xml:space="preserve"> </w:t>
      </w:r>
      <w:r>
        <w:t xml:space="preserve">filtering inside service-layer queries so a teacher sees only their own groups and a student only their</w:t>
      </w:r>
      <w:r>
        <w:t xml:space="preserve"> </w:t>
      </w:r>
      <w:r>
        <w:t xml:space="preserve">own record. This separation places the hardest correctness concern — row-level visibility — in one</w:t>
      </w:r>
      <w:r>
        <w:t xml:space="preserve"> </w:t>
      </w:r>
      <w:r>
        <w:t xml:space="preserve">auditable location per feature, consistent with role-based access control theory (Sandhu</w:t>
      </w:r>
      <w:r>
        <w:t xml:space="preserve"> </w:t>
      </w:r>
      <w:r>
        <w:rPr>
          <w:i/>
          <w:iCs/>
        </w:rPr>
        <w:t xml:space="preserve">et al.</w:t>
      </w:r>
      <w:r>
        <w:t xml:space="preserve">, 1996)</w:t>
      </w:r>
      <w:r>
        <w:t xml:space="preserve"> </w:t>
      </w:r>
      <w:r>
        <w:t xml:space="preserve">and GDPR-aligned data-minimisation (European Parliament and Council, 2016). The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table</w:t>
      </w:r>
      <w:r>
        <w:t xml:space="preserve"> </w:t>
      </w:r>
      <w:r>
        <w:t xml:space="preserve">provides the accountability trail that completes the answer to RQ4.</w:t>
      </w:r>
    </w:p>
    <w:bookmarkEnd w:id="138"/>
    <w:bookmarkStart w:id="139" w:name="comparison-with-the-literature"/>
    <w:p>
      <w:pPr>
        <w:pStyle w:val="Heading2"/>
      </w:pPr>
      <w:r>
        <w:t xml:space="preserve">5.2 Comparison with the Literature</w:t>
      </w:r>
    </w:p>
    <w:p>
      <w:pPr>
        <w:pStyle w:val="FirstParagraph"/>
      </w:pPr>
      <w:r>
        <w:t xml:space="preserve">These findings confirm and, in places, sharpen the themes reviewed in Chapter 2. The decision to replace</w:t>
      </w:r>
      <w:r>
        <w:t xml:space="preserve"> </w:t>
      </w:r>
      <w:r>
        <w:t xml:space="preserve">a single GPA with a weighted, multi-dimensional composite score operationalises the case made by Siemens</w:t>
      </w:r>
      <w:r>
        <w:t xml:space="preserve"> </w:t>
      </w:r>
      <w:r>
        <w:t xml:space="preserve">and Long (2011) and Ferguson (2012) for moving</w:t>
      </w:r>
      <w:r>
        <w:t xml:space="preserve"> </w:t>
      </w:r>
      <w:r>
        <w:t xml:space="preserve">“from data to insight,”</w:t>
      </w:r>
      <w:r>
        <w:t xml:space="preserve"> </w:t>
      </w:r>
      <w:r>
        <w:t xml:space="preserve">demonstrating in a working system</w:t>
      </w:r>
      <w:r>
        <w:t xml:space="preserve"> </w:t>
      </w:r>
      <w:r>
        <w:t xml:space="preserve">what that literature argues in principle. The synchronous, continuous recomputation of metrics — and the</w:t>
      </w:r>
      <w:r>
        <w:t xml:space="preserve"> </w:t>
      </w:r>
      <w:r>
        <w:t xml:space="preserve">rule-driven at-risk signal — realises the early-warning ambition of Macfadyen and Dawson (2010) and</w:t>
      </w:r>
      <w:r>
        <w:t xml:space="preserve"> </w:t>
      </w:r>
      <w:r>
        <w:t xml:space="preserve">Arnold and Pistilli (2012), though EduMetric does so through transparent thresholds rather than the</w:t>
      </w:r>
      <w:r>
        <w:t xml:space="preserve"> </w:t>
      </w:r>
      <w:r>
        <w:t xml:space="preserve">predictive regression that underpinned Course Signals. This is where the project most clearly extends the</w:t>
      </w:r>
      <w:r>
        <w:t xml:space="preserve"> </w:t>
      </w:r>
      <w:r>
        <w:t xml:space="preserve">reviewed work: it sides decisively with the transparency-over-black-box position of Slade and Prinsloo</w:t>
      </w:r>
      <w:r>
        <w:t xml:space="preserve"> </w:t>
      </w:r>
      <w:r>
        <w:t xml:space="preserve">(2013), showing that an auditable, configurable formula is not merely an ethical preference but an</w:t>
      </w:r>
      <w:r>
        <w:t xml:space="preserve"> </w:t>
      </w:r>
      <w:r>
        <w:t xml:space="preserve">implementable architecture, with the</w:t>
      </w:r>
      <w:r>
        <w:t xml:space="preserve"> </w:t>
      </w:r>
      <w:r>
        <w:rPr>
          <w:rStyle w:val="VerbatimChar"/>
        </w:rPr>
        <w:t xml:space="preserve">formula_config</w:t>
      </w:r>
      <w:r>
        <w:t xml:space="preserve"> </w:t>
      </w:r>
      <w:r>
        <w:t xml:space="preserve">entity and the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trail as its concrete</w:t>
      </w:r>
      <w:r>
        <w:t xml:space="preserve"> </w:t>
      </w:r>
      <w:r>
        <w:t xml:space="preserve">mechanisms.</w:t>
      </w:r>
    </w:p>
    <w:p>
      <w:pPr>
        <w:pStyle w:val="BodyText"/>
      </w:pPr>
      <w:r>
        <w:t xml:space="preserve">Evaluated through the Technology Acceptance Model (Davis, 1989), the one-screen-one-endpoint dashboard</w:t>
      </w:r>
      <w:r>
        <w:t xml:space="preserve"> </w:t>
      </w:r>
      <w:r>
        <w:t xml:space="preserve">and the explainable score address both perceived ease of use (a single, coherent view) and perceived</w:t>
      </w:r>
      <w:r>
        <w:t xml:space="preserve"> </w:t>
      </w:r>
      <w:r>
        <w:t xml:space="preserve">usefulness (an actionable growth signal). Through the IS Success lens (DeLone and McLean, 2003), the</w:t>
      </w:r>
      <w:r>
        <w:t xml:space="preserve"> </w:t>
      </w:r>
      <w:r>
        <w:t xml:space="preserve">design strengthens system quality (synchronous, consistent recompute), information quality (transparent,</w:t>
      </w:r>
      <w:r>
        <w:t xml:space="preserve"> </w:t>
      </w:r>
      <w:r>
        <w:t xml:space="preserve">auditable scores) and the conditions for service quality (role-scoped access). The artefact thus refines</w:t>
      </w:r>
      <w:r>
        <w:t xml:space="preserve"> </w:t>
      </w:r>
      <w:r>
        <w:t xml:space="preserve">theory by giving these constructs a verified implementation, consistent with the design-science stance</w:t>
      </w:r>
      <w:r>
        <w:t xml:space="preserve"> </w:t>
      </w:r>
      <w:r>
        <w:t xml:space="preserve">that an evaluated artefact can advance knowledge (Hevner</w:t>
      </w:r>
      <w:r>
        <w:t xml:space="preserve"> </w:t>
      </w:r>
      <w:r>
        <w:rPr>
          <w:i/>
          <w:iCs/>
        </w:rPr>
        <w:t xml:space="preserve">et al.</w:t>
      </w:r>
      <w:r>
        <w:t xml:space="preserve">, 2004; Peffers</w:t>
      </w:r>
      <w:r>
        <w:t xml:space="preserve"> </w:t>
      </w:r>
      <w:r>
        <w:rPr>
          <w:i/>
          <w:iCs/>
        </w:rPr>
        <w:t xml:space="preserve">et al.</w:t>
      </w:r>
      <w:r>
        <w:t xml:space="preserve">, 2007).</w:t>
      </w:r>
    </w:p>
    <w:bookmarkEnd w:id="139"/>
    <w:bookmarkStart w:id="140" w:name="validity-d3"/>
    <w:p>
      <w:pPr>
        <w:pStyle w:val="Heading2"/>
      </w:pPr>
      <w:r>
        <w:t xml:space="preserve">5.3 Validity (D3)</w:t>
      </w:r>
    </w:p>
    <w:p>
      <w:pPr>
        <w:pStyle w:val="FirstParagraph"/>
      </w:pPr>
      <w:r>
        <w:t xml:space="preserve">The central validity question is whether the requirements-to-test traceability and the functional</w:t>
      </w:r>
      <w:r>
        <w:t xml:space="preserve"> </w:t>
      </w:r>
      <w:r>
        <w:t xml:space="preserve">testing genuinely</w:t>
      </w:r>
      <w:r>
        <w:t xml:space="preserve"> </w:t>
      </w:r>
      <w:r>
        <w:rPr>
          <w:i/>
          <w:iCs/>
        </w:rPr>
        <w:t xml:space="preserve">demonstrate</w:t>
      </w:r>
      <w:r>
        <w:t xml:space="preserve"> </w:t>
      </w:r>
      <w:r>
        <w:t xml:space="preserve">that the requirements were met, rather than merely asserting it.</w:t>
      </w:r>
      <w:r>
        <w:t xml:space="preserve"> </w:t>
      </w:r>
      <w:r>
        <w:rPr>
          <w:b/>
          <w:bCs/>
        </w:rPr>
        <w:t xml:space="preserve">Construct validity</w:t>
      </w:r>
      <w:r>
        <w:t xml:space="preserve"> </w:t>
      </w:r>
      <w:r>
        <w:t xml:space="preserve">is addressed by fixing the meaning of</w:t>
      </w:r>
      <w:r>
        <w:t xml:space="preserve"> </w:t>
      </w:r>
      <w:r>
        <w:t xml:space="preserve">“requirement met”</w:t>
      </w:r>
      <w:r>
        <w:t xml:space="preserve"> </w:t>
      </w:r>
      <w:r>
        <w:t xml:space="preserve">in advance: a requirement</w:t>
      </w:r>
      <w:r>
        <w:t xml:space="preserve"> </w:t>
      </w:r>
      <w:r>
        <w:t xml:space="preserve">is met only when it resolves through the six-column pathway — requirement → module → entity → endpoint →</w:t>
      </w:r>
      <w:r>
        <w:t xml:space="preserve"> </w:t>
      </w:r>
      <w:r>
        <w:t xml:space="preserve">test — and the corresponding test passes, applied uniformly across all six processes so that the</w:t>
      </w:r>
      <w:r>
        <w:t xml:space="preserve"> </w:t>
      </w:r>
      <w:r>
        <w:t xml:space="preserve">construct means the same thing throughout.</w:t>
      </w:r>
      <w:r>
        <w:t xml:space="preserve"> </w:t>
      </w:r>
      <w:r>
        <w:rPr>
          <w:b/>
          <w:bCs/>
        </w:rPr>
        <w:t xml:space="preserve">Internal validity</w:t>
      </w:r>
      <w:r>
        <w:t xml:space="preserve"> </w:t>
      </w:r>
      <w:r>
        <w:t xml:space="preserve">is strengthened by verifying each matrix</w:t>
      </w:r>
      <w:r>
        <w:t xml:space="preserve"> </w:t>
      </w:r>
      <w:r>
        <w:t xml:space="preserve">link against the shipped code rather than against design notes; where design and implementation diverged</w:t>
      </w:r>
      <w:r>
        <w:t xml:space="preserve"> </w:t>
      </w:r>
      <w:r>
        <w:t xml:space="preserve">(for example the dashboard endpoint), the implemented value was recorded, which both removes the risk of</w:t>
      </w:r>
      <w:r>
        <w:t xml:space="preserve"> </w:t>
      </w:r>
      <w:r>
        <w:t xml:space="preserve">a self-confirming matrix and shows the matrix detecting real drift (mitigating R03 and R07). The</w:t>
      </w:r>
      <w:r>
        <w:t xml:space="preserve"> </w:t>
      </w:r>
      <w:r>
        <w:t xml:space="preserve">strongest internal-validity evidence is the test column, which ties each process to a documented pass or</w:t>
      </w:r>
      <w:r>
        <w:t xml:space="preserve"> </w:t>
      </w:r>
      <w:r>
        <w:t xml:space="preserve">fail outcome.</w:t>
      </w:r>
      <w:r>
        <w:t xml:space="preserve"> </w:t>
      </w:r>
      <w:r>
        <w:rPr>
          <w:b/>
          <w:bCs/>
        </w:rPr>
        <w:t xml:space="preserve">External validity</w:t>
      </w:r>
      <w:r>
        <w:t xml:space="preserve"> </w:t>
      </w:r>
      <w:r>
        <w:t xml:space="preserve">is deliberately bounded: a single-system design (§5.6) supports a</w:t>
      </w:r>
      <w:r>
        <w:t xml:space="preserve"> </w:t>
      </w:r>
      <w:r>
        <w:t xml:space="preserve">demonstrated method and a working reference implementation, not a statistical generalisation across</w:t>
      </w:r>
      <w:r>
        <w:t xml:space="preserve"> </w:t>
      </w:r>
      <w:r>
        <w:t xml:space="preserve">institutions.</w:t>
      </w:r>
    </w:p>
    <w:p>
      <w:pPr>
        <w:pStyle w:val="BodyText"/>
      </w:pPr>
      <w:r>
        <w:t xml:space="preserve">The validity of the project outcomes was supported by testing the application against the original</w:t>
      </w:r>
      <w:r>
        <w:t xml:space="preserve"> </w:t>
      </w:r>
      <w:r>
        <w:t xml:space="preserve">functional requirements. The test evidence, including test cases for authentication, attendance</w:t>
      </w:r>
      <w:r>
        <w:t xml:space="preserve"> </w:t>
      </w:r>
      <w:r>
        <w:t xml:space="preserve">management, student evaluation, analytics generation, at-risk detection and admin monitoring, is</w:t>
      </w:r>
      <w:r>
        <w:t xml:space="preserve"> </w:t>
      </w:r>
      <w:r>
        <w:t xml:space="preserve">presented in Appendix K.</w:t>
      </w:r>
    </w:p>
    <w:bookmarkEnd w:id="140"/>
    <w:bookmarkStart w:id="141" w:name="reliability"/>
    <w:p>
      <w:pPr>
        <w:pStyle w:val="Heading2"/>
      </w:pPr>
      <w:r>
        <w:t xml:space="preserve">5.4 Reliability</w:t>
      </w:r>
    </w:p>
    <w:p>
      <w:pPr>
        <w:pStyle w:val="FirstParagraph"/>
      </w:pPr>
      <w:r>
        <w:t xml:space="preserve">Reliability concerns whether the build and the derivation would repeat. The system is</w:t>
      </w:r>
      <w:r>
        <w:t xml:space="preserve"> </w:t>
      </w:r>
      <w:r>
        <w:rPr>
          <w:b/>
          <w:bCs/>
        </w:rPr>
        <w:t xml:space="preserve">reproducible</w:t>
      </w:r>
      <w:r>
        <w:t xml:space="preserve"> </w:t>
      </w:r>
      <w:r>
        <w:t xml:space="preserve">because the schema is owned by the version-controlled Liquibase changelog under</w:t>
      </w:r>
      <w:r>
        <w:t xml:space="preserve"> </w:t>
      </w:r>
      <w:r>
        <w:rPr>
          <w:rStyle w:val="VerbatimChar"/>
        </w:rPr>
        <w:t xml:space="preserve">ddl-auto: validate</w:t>
      </w:r>
      <w:r>
        <w:t xml:space="preserve">, the</w:t>
      </w:r>
      <w:r>
        <w:t xml:space="preserve"> </w:t>
      </w:r>
      <w:r>
        <w:t xml:space="preserve">build is driven by Maven, and the whole stack runs from a single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; a second engineer</w:t>
      </w:r>
      <w:r>
        <w:t xml:space="preserve"> </w:t>
      </w:r>
      <w:r>
        <w:t xml:space="preserve">provisioning from the same repository would obtain the same database structure and the same running</w:t>
      </w:r>
      <w:r>
        <w:t xml:space="preserve"> </w:t>
      </w:r>
      <w:r>
        <w:t xml:space="preserve">system. The derivation is likewise</w:t>
      </w:r>
      <w:r>
        <w:t xml:space="preserve"> </w:t>
      </w:r>
      <w:r>
        <w:rPr>
          <w:b/>
          <w:bCs/>
        </w:rPr>
        <w:t xml:space="preserve">repeatable</w:t>
      </w:r>
      <w:r>
        <w:t xml:space="preserve"> </w:t>
      </w:r>
      <w:r>
        <w:t xml:space="preserve">because the traceability pathway is explicit and its</w:t>
      </w:r>
      <w:r>
        <w:t xml:space="preserve"> </w:t>
      </w:r>
      <w:r>
        <w:t xml:space="preserve">inputs (requirements, code, schema) are version-controlled, so a second analyst following the same</w:t>
      </w:r>
      <w:r>
        <w:t xml:space="preserve"> </w:t>
      </w:r>
      <w:r>
        <w:t xml:space="preserve">pathway against the same artefacts would reconstruct the same chain. The test outcomes are</w:t>
      </w:r>
      <w:r>
        <w:t xml:space="preserve"> </w:t>
      </w:r>
      <w:r>
        <w:rPr>
          <w:b/>
          <w:bCs/>
        </w:rPr>
        <w:t xml:space="preserve">consistent</w:t>
      </w:r>
      <w:r>
        <w:t xml:space="preserve">:</w:t>
      </w:r>
      <w:r>
        <w:t xml:space="preserve"> </w:t>
      </w:r>
      <w:r>
        <w:t xml:space="preserve">a documented scenario yields the same result independent of which sample user submits it — an invalid</w:t>
      </w:r>
      <w:r>
        <w:t xml:space="preserve"> </w:t>
      </w:r>
      <w:r>
        <w:t xml:space="preserve">attendance write returns 400 and a duplicate returns 409 regardless of the teacher — indicating that the</w:t>
      </w:r>
      <w:r>
        <w:t xml:space="preserve"> </w:t>
      </w:r>
      <w:r>
        <w:t xml:space="preserve">validated behaviour is a property of the system rather than of a particular run.</w:t>
      </w:r>
    </w:p>
    <w:p>
      <w:pPr>
        <w:pStyle w:val="BodyText"/>
      </w:pPr>
      <w:r>
        <w:t xml:space="preserve">Reliability was assessed by repeating the same test scenarios using different sample users and academic</w:t>
      </w:r>
      <w:r>
        <w:t xml:space="preserve"> </w:t>
      </w:r>
      <w:r>
        <w:t xml:space="preserve">records. The repeated test results showed that the main system functions produced consistent outputs.</w:t>
      </w:r>
      <w:r>
        <w:t xml:space="preserve"> </w:t>
      </w:r>
      <w:r>
        <w:t xml:space="preserve">Detailed testing records are provided in Appendix K.</w:t>
      </w:r>
    </w:p>
    <w:bookmarkEnd w:id="141"/>
    <w:bookmarkStart w:id="154" w:name="project-effectiveness-evaluation"/>
    <w:p>
      <w:pPr>
        <w:pStyle w:val="Heading2"/>
      </w:pPr>
      <w:r>
        <w:t xml:space="preserve">5.5 Project Effectiveness Evaluation</w:t>
      </w:r>
    </w:p>
    <w:p>
      <w:pPr>
        <w:pStyle w:val="FirstParagraph"/>
      </w:pPr>
      <w:r>
        <w:t xml:space="preserve">Project effectiveness is evaluated against the five objectives of §1.4 using a Red–Amber–Green rating</w:t>
      </w:r>
      <w:r>
        <w:t xml:space="preserve"> </w:t>
      </w:r>
      <w:r>
        <w:t xml:space="preserve">(Table 5.1), and against the quantitative and visual evidence in Figures 5.1–5.4. The five objectives map</w:t>
      </w:r>
      <w:r>
        <w:t xml:space="preserve"> </w:t>
      </w:r>
      <w:r>
        <w:t xml:space="preserve">onto the ratings as follows: Objective 1 (literature review) is evidenced by Chapter 2; Objective 2</w:t>
      </w:r>
      <w:r>
        <w:t xml:space="preserve"> </w:t>
      </w:r>
      <w:r>
        <w:t xml:space="preserve">(requirements specification) by §4.3.1; Objective 3 (architecture, data model, process models and API</w:t>
      </w:r>
      <w:r>
        <w:t xml:space="preserve"> </w:t>
      </w:r>
      <w:r>
        <w:t xml:space="preserve">design) by §4.3.2–§4.3.6; Objective 4 (the full-stack prototype implementing the six core modules) by the</w:t>
      </w:r>
      <w:r>
        <w:t xml:space="preserve"> </w:t>
      </w:r>
      <w:r>
        <w:t xml:space="preserve">shipped codebase and Appendix J; and Objective 5 (functional/UAT evaluation and effectiveness assessment)</w:t>
      </w:r>
      <w:r>
        <w:t xml:space="preserve"> </w:t>
      </w:r>
      <w:r>
        <w:t xml:space="preserve">by this chapter and Appendix K.</w:t>
      </w:r>
    </w:p>
    <w:p>
      <w:pPr>
        <w:pStyle w:val="BodyText"/>
      </w:pPr>
      <w:r>
        <w:rPr>
          <w:b/>
          <w:bCs/>
        </w:rPr>
        <w:t xml:space="preserve">Table 5.1 — Project effectiveness evaluation (RAG).</w:t>
      </w:r>
      <w:r>
        <w:t xml:space="preserve"> </w:t>
      </w:r>
      <w:r>
        <w:rPr>
          <w:i/>
          <w:iCs/>
        </w:rPr>
        <w:t xml:space="preserve">(Source: author.)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Objective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Outcome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Review the literature (≥25 sources, 6 themes)</w:t>
            </w:r>
          </w:p>
        </w:tc>
        <w:tc>
          <w:tcPr/>
          <w:p>
            <w:pPr>
              <w:pStyle w:val="Compact"/>
            </w:pPr>
            <w:r>
              <w:t xml:space="preserve">Chapter 2 delivered, 25+ Harvard sources</w:t>
            </w:r>
          </w:p>
        </w:tc>
        <w:tc>
          <w:tcPr/>
          <w:p>
            <w:pPr>
              <w:pStyle w:val="Compact"/>
            </w:pPr>
            <w:r>
              <w:t xml:space="preserve">🟢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Analyse and specify functional/non-functional requirements</w:t>
            </w:r>
          </w:p>
        </w:tc>
        <w:tc>
          <w:tcPr/>
          <w:p>
            <w:pPr>
              <w:pStyle w:val="Compact"/>
            </w:pPr>
            <w:r>
              <w:t xml:space="preserve">Requirements specified and traced (§4.3.1)</w:t>
            </w:r>
          </w:p>
        </w:tc>
        <w:tc>
          <w:tcPr/>
          <w:p>
            <w:pPr>
              <w:pStyle w:val="Compact"/>
            </w:pPr>
            <w:r>
              <w:t xml:space="preserve">🟢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Design architecture, data model, six process models, REST API</w:t>
            </w:r>
          </w:p>
        </w:tc>
        <w:tc>
          <w:tcPr/>
          <w:p>
            <w:pPr>
              <w:pStyle w:val="Compact"/>
            </w:pPr>
            <w:r>
              <w:t xml:space="preserve">C4, ERD (Fig 4.5), Fig 4.6–4.11, API spec delivered</w:t>
            </w:r>
          </w:p>
        </w:tc>
        <w:tc>
          <w:tcPr/>
          <w:p>
            <w:pPr>
              <w:pStyle w:val="Compact"/>
            </w:pPr>
            <w:r>
              <w:t xml:space="preserve">🟢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Develop the full-stack prototype (six core modules)</w:t>
            </w:r>
          </w:p>
        </w:tc>
        <w:tc>
          <w:tcPr/>
          <w:p>
            <w:pPr>
              <w:pStyle w:val="Compact"/>
            </w:pPr>
            <w:r>
              <w:t xml:space="preserve">Next.js + Spring Boot + PostgreSQL built (Appendix J)</w:t>
            </w:r>
          </w:p>
        </w:tc>
        <w:tc>
          <w:tcPr/>
          <w:p>
            <w:pPr>
              <w:pStyle w:val="Compact"/>
            </w:pPr>
            <w:r>
              <w:t xml:space="preserve">🟢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Evaluate via functional/UAT testing and effectiveness assessment</w:t>
            </w:r>
          </w:p>
        </w:tc>
        <w:tc>
          <w:tcPr/>
          <w:p>
            <w:pPr>
              <w:pStyle w:val="Compact"/>
            </w:pPr>
            <w:r>
              <w:t xml:space="preserve">RQ1–RQ4 answered; 30 test cases (Appendix K); limits stated (§5.6)</w:t>
            </w:r>
          </w:p>
        </w:tc>
        <w:tc>
          <w:tcPr/>
          <w:p>
            <w:pPr>
              <w:pStyle w:val="Compact"/>
            </w:pPr>
            <w:r>
              <w:t xml:space="preserve">🟢 Green</w:t>
            </w:r>
          </w:p>
        </w:tc>
      </w:tr>
    </w:tbl>
    <w:p>
      <w:pPr>
        <w:pStyle w:val="BodyText"/>
        <w:jc w:val="center"/>
      </w:pPr>
      <w:r>
        <w:drawing>
          <wp:inline>
            <wp:extent cx="5334000" cy="3113609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_assets/figure-5-1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3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5.1 — Project effectiveness: objectives RAG status.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author.)</w:t>
      </w:r>
    </w:p>
    <w:p>
      <w:pPr>
        <w:pStyle w:val="BodyText"/>
      </w:pPr>
      <w:r>
        <w:t xml:space="preserve">The completion profile in Figure 5.1 shows the first four objectives fully delivered and the fifth at</w:t>
      </w:r>
      <w:r>
        <w:t xml:space="preserve"> </w:t>
      </w:r>
      <w:r>
        <w:t xml:space="preserve">95%, reflecting that evaluation rests on functional and UAT-style testing rather than a live institutional</w:t>
      </w:r>
      <w:r>
        <w:t xml:space="preserve"> </w:t>
      </w:r>
      <w:r>
        <w:t xml:space="preserve">trial (§5.6). The corresponding test outcomes are summarised in Figure 5.2.</w:t>
      </w:r>
    </w:p>
    <w:p>
      <w:pPr>
        <w:pStyle w:val="BodyText"/>
      </w:pPr>
      <w:r>
        <w:t xml:space="preserve">The traceability test column documents 30 verification cases across the six processes; all 30 are</w:t>
      </w:r>
      <w:r>
        <w:t xml:space="preserve"> </w:t>
      </w:r>
      <w:r>
        <w:t xml:space="preserve">recorded as passing in Appendix K (a 100% documented pass rate at the functional-validation level).</w:t>
      </w:r>
    </w:p>
    <w:p>
      <w:pPr>
        <w:pStyle w:val="BodyText"/>
        <w:jc w:val="center"/>
      </w:pPr>
      <w:r>
        <w:drawing>
          <wp:inline>
            <wp:extent cx="5334000" cy="3071878"/>
            <wp:effectExtent b="0" l="0" r="0" t="0"/>
            <wp:docPr descr="" title="" id="146" name="Picture"/>
            <a:graphic>
              <a:graphicData uri="http://schemas.openxmlformats.org/drawingml/2006/picture">
                <pic:pic>
                  <pic:nvPicPr>
                    <pic:cNvPr descr="_assets/figure-5-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1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5.2 — Test outcomes: documented cases per process (all passing).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author, from the traceability test column / Appendix K.)</w:t>
      </w:r>
    </w:p>
    <w:p>
      <w:pPr>
        <w:pStyle w:val="BodyText"/>
      </w:pPr>
      <w:r>
        <w:t xml:space="preserve">Beyond verifying that the modules work, the system’s analytical purpose is illustrated by the</w:t>
      </w:r>
      <w:r>
        <w:t xml:space="preserve"> </w:t>
      </w:r>
      <w:r>
        <w:t xml:space="preserve">multi-dimensional output it produces. Figure 5.3 presents a sample learner’s composite-score profile</w:t>
      </w:r>
      <w:r>
        <w:t xml:space="preserve"> </w:t>
      </w:r>
      <w:r>
        <w:t xml:space="preserve">across six scored dimensions, demonstrating the transparency advantage interpreted under RQ3: each</w:t>
      </w:r>
      <w:r>
        <w:t xml:space="preserve"> </w:t>
      </w:r>
      <w:r>
        <w:t xml:space="preserve">contributing dimension is visible rather than collapsed into one number.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Dimension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Score (0–100)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Grades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Practical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</w:tr>
    </w:tbl>
    <w:p>
      <w:pPr>
        <w:pStyle w:val="BodyText"/>
        <w:jc w:val="center"/>
      </w:pPr>
      <w:r>
        <w:drawing>
          <wp:inline>
            <wp:extent cx="5334000" cy="5548104"/>
            <wp:effectExtent b="0" l="0" r="0" t="0"/>
            <wp:docPr descr="" title="" id="149" name="Picture"/>
            <a:graphic>
              <a:graphicData uri="http://schemas.openxmlformats.org/drawingml/2006/picture">
                <pic:pic>
                  <pic:nvPicPr>
                    <pic:cNvPr descr="_assets/figure-5-3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8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5.3 — Student growth profile: composite-score radar (6 dimensions).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author, synthetic data.)</w:t>
      </w:r>
    </w:p>
    <w:p>
      <w:pPr>
        <w:pStyle w:val="BodyText"/>
      </w:pPr>
      <w:r>
        <w:t xml:space="preserve">Whereas Figure 5.3 captures a single point in time, the growth-trend view in Figure 5.4 tracks the same</w:t>
      </w:r>
      <w:r>
        <w:t xml:space="preserve"> </w:t>
      </w:r>
      <w:r>
        <w:t xml:space="preserve">learner’s composite score across the weekly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 </w:t>
      </w:r>
      <w:r>
        <w:t xml:space="preserve">written by the scheduled snapshot job,</w:t>
      </w:r>
      <w:r>
        <w:t xml:space="preserve"> </w:t>
      </w:r>
      <w:r>
        <w:t xml:space="preserve">evidencing the accuracy and growth-monitoring capability that distinguishes EduMetric from a</w:t>
      </w:r>
      <w:r>
        <w:t xml:space="preserve"> </w:t>
      </w:r>
      <w:r>
        <w:t xml:space="preserve">static-GPA report.</w:t>
      </w:r>
    </w:p>
    <w:p>
      <w:pPr>
        <w:pStyle w:val="BodyText"/>
        <w:jc w:val="center"/>
      </w:pPr>
      <w:r>
        <w:drawing>
          <wp:inline>
            <wp:extent cx="5334000" cy="3058438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_assets/figure-5-4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8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5.4 — Growth trend over</w:t>
      </w:r>
      <w:r>
        <w:rPr>
          <w:b/>
          <w:bCs/>
          <w:color w:val="404040"/>
          <w:sz w:val="19"/>
        </w:rPr>
        <w:t xml:space="preserve"> </w:t>
      </w:r>
      <w:r>
        <w:rPr>
          <w:rStyle w:val="VerbatimChar"/>
          <w:b/>
          <w:bCs/>
          <w:color w:val="404040"/>
          <w:sz w:val="19"/>
        </w:rPr>
        <w:t xml:space="preserve">metric_snapshots</w:t>
      </w:r>
      <w:r>
        <w:rPr>
          <w:b/>
          <w:bCs/>
          <w:color w:val="404040"/>
          <w:sz w:val="19"/>
        </w:rPr>
        <w:t xml:space="preserve">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author, synthetic data.)</w:t>
      </w:r>
    </w:p>
    <w:p>
      <w:pPr>
        <w:pStyle w:val="BodyText"/>
      </w:pPr>
      <w:r>
        <w:t xml:space="preserve">The effectiveness of the developed application was evaluated by comparing the completed system features</w:t>
      </w:r>
      <w:r>
        <w:t xml:space="preserve"> </w:t>
      </w:r>
      <w:r>
        <w:t xml:space="preserve">with the project objectives. Interface screenshots are included in Appendix J, while detailed testing</w:t>
      </w:r>
      <w:r>
        <w:t xml:space="preserve"> </w:t>
      </w:r>
      <w:r>
        <w:t xml:space="preserve">documents and evaluation evidence are provided in Appendix K.</w:t>
      </w:r>
    </w:p>
    <w:p>
      <w:pPr>
        <w:pStyle w:val="BodyText"/>
      </w:pPr>
      <w:r>
        <w:t xml:space="preserve">Taken together, the RAG ratings (Table 5.1, Figure 5.1), the documented test pass rate (Figure 5.2) and</w:t>
      </w:r>
      <w:r>
        <w:t xml:space="preserve"> </w:t>
      </w:r>
      <w:r>
        <w:t xml:space="preserve">the working analytics interface and outputs (Figures 5.3–5.4, Appendix J) indicate that the project met</w:t>
      </w:r>
      <w:r>
        <w:t xml:space="preserve"> </w:t>
      </w:r>
      <w:r>
        <w:t xml:space="preserve">its five objectives and delivered a transparent, multi-dimensional analytics system as aimed.</w:t>
      </w:r>
    </w:p>
    <w:bookmarkEnd w:id="154"/>
    <w:bookmarkStart w:id="155" w:name="limitations"/>
    <w:p>
      <w:pPr>
        <w:pStyle w:val="Heading2"/>
      </w:pPr>
      <w:r>
        <w:t xml:space="preserve">5.6 Limitations</w:t>
      </w:r>
    </w:p>
    <w:p>
      <w:pPr>
        <w:pStyle w:val="FirstParagraph"/>
      </w:pPr>
      <w:r>
        <w:t xml:space="preserve">Four limitations qualify these findings. First, this is a</w:t>
      </w:r>
      <w:r>
        <w:t xml:space="preserve"> </w:t>
      </w:r>
      <w:r>
        <w:rPr>
          <w:b/>
          <w:bCs/>
        </w:rPr>
        <w:t xml:space="preserve">single-system design</w:t>
      </w:r>
      <w:r>
        <w:t xml:space="preserve">: the evaluation rests</w:t>
      </w:r>
      <w:r>
        <w:t xml:space="preserve"> </w:t>
      </w:r>
      <w:r>
        <w:t xml:space="preserve">on one artefact, EduMetric, so the findings prioritise internal depth and traceability over statistical</w:t>
      </w:r>
      <w:r>
        <w:t xml:space="preserve"> </w:t>
      </w:r>
      <w:r>
        <w:t xml:space="preserve">generalisability across institutions. Second, there has been</w:t>
      </w:r>
      <w:r>
        <w:t xml:space="preserve"> </w:t>
      </w:r>
      <w:r>
        <w:rPr>
          <w:b/>
          <w:bCs/>
        </w:rPr>
        <w:t xml:space="preserve">no live user trial</w:t>
      </w:r>
      <w:r>
        <w:t xml:space="preserve">; evaluation draws on</w:t>
      </w:r>
      <w:r>
        <w:t xml:space="preserve"> </w:t>
      </w:r>
      <w:r>
        <w:t xml:space="preserve">functional and UAT-style testing and on the artefact itself rather than on data collected from teachers</w:t>
      </w:r>
      <w:r>
        <w:t xml:space="preserve"> </w:t>
      </w:r>
      <w:r>
        <w:t xml:space="preserve">and students in production, which keeps the project low-risk ethically (§3.7) but defers any measurement</w:t>
      </w:r>
      <w:r>
        <w:t xml:space="preserve"> </w:t>
      </w:r>
      <w:r>
        <w:t xml:space="preserve">of real-world adoption, perceived usefulness or learning impact. Third, the analytics were exercised on</w:t>
      </w:r>
      <w:r>
        <w:t xml:space="preserve"> </w:t>
      </w:r>
      <w:r>
        <w:rPr>
          <w:b/>
          <w:bCs/>
        </w:rPr>
        <w:t xml:space="preserve">synthetic, anonymised data</w:t>
      </w:r>
      <w:r>
        <w:t xml:space="preserve"> </w:t>
      </w:r>
      <w:r>
        <w:t xml:space="preserve">— including the twelve weeks of seeded snapshots — so the figures</w:t>
      </w:r>
      <w:r>
        <w:t xml:space="preserve"> </w:t>
      </w:r>
      <w:r>
        <w:t xml:space="preserve">illustrate capability rather than authentic institutional outcomes. Fourth, the composite score is</w:t>
      </w:r>
      <w:r>
        <w:t xml:space="preserve"> </w:t>
      </w:r>
      <w:r>
        <w:t xml:space="preserve">sensitive to</w:t>
      </w:r>
      <w:r>
        <w:t xml:space="preserve"> </w:t>
      </w:r>
      <w:r>
        <w:rPr>
          <w:b/>
          <w:bCs/>
        </w:rPr>
        <w:t xml:space="preserve">small samples</w:t>
      </w:r>
      <w:r>
        <w:t xml:space="preserve">: a dimension backed by very few records yields a low-confidence figure</w:t>
      </w:r>
      <w:r>
        <w:t xml:space="preserve"> </w:t>
      </w:r>
      <w:r>
        <w:t xml:space="preserve">(addressed in the schema by the</w:t>
      </w:r>
      <w:r>
        <w:t xml:space="preserve"> </w:t>
      </w:r>
      <w:r>
        <w:rPr>
          <w:rStyle w:val="VerbatimChar"/>
        </w:rPr>
        <w:t xml:space="preserve">student-metrics-confidence</w:t>
      </w:r>
      <w:r>
        <w:t xml:space="preserve"> </w:t>
      </w:r>
      <w:r>
        <w:t xml:space="preserve">changeset but not yet validated against the</w:t>
      </w:r>
      <w:r>
        <w:t xml:space="preserve"> </w:t>
      </w:r>
      <w:r>
        <w:t xml:space="preserve">volume of records a full term would supply), so early-term flags must be read cautiously.</w:t>
      </w:r>
    </w:p>
    <w:bookmarkEnd w:id="155"/>
    <w:bookmarkStart w:id="156" w:name="Xc4fe516798f8d150d5c70499b28e99595d3e381"/>
    <w:p>
      <w:pPr>
        <w:pStyle w:val="Heading2"/>
      </w:pPr>
      <w:r>
        <w:t xml:space="preserve">5.7 Implications for Practice and Future Research</w:t>
      </w:r>
    </w:p>
    <w:p>
      <w:pPr>
        <w:pStyle w:val="FirstParagraph"/>
      </w:pPr>
      <w:r>
        <w:t xml:space="preserve">For practice, the work offers educational institutions a worked, low-cost pattern for</w:t>
      </w:r>
      <w:r>
        <w:t xml:space="preserve"> </w:t>
      </w:r>
      <w:r>
        <w:rPr>
          <w:b/>
          <w:bCs/>
        </w:rPr>
        <w:t xml:space="preserve">transparent</w:t>
      </w:r>
      <w:r>
        <w:rPr>
          <w:b/>
          <w:bCs/>
        </w:rPr>
        <w:t xml:space="preserve"> </w:t>
      </w:r>
      <w:r>
        <w:rPr>
          <w:b/>
          <w:bCs/>
        </w:rPr>
        <w:t xml:space="preserve">education analytics</w:t>
      </w:r>
      <w:r>
        <w:t xml:space="preserve">: an open-source, single-server modular monolith whose scoring is configurable and</w:t>
      </w:r>
      <w:r>
        <w:t xml:space="preserve"> </w:t>
      </w:r>
      <w:r>
        <w:t xml:space="preserve">auditable rather than proprietary and opaque. Institutions wary of black-box prediction can adopt a</w:t>
      </w:r>
      <w:r>
        <w:t xml:space="preserve"> </w:t>
      </w:r>
      <w:r>
        <w:t xml:space="preserve">formula they can inspect, weight and justify to students, with a built-in audit trail — directly serving</w:t>
      </w:r>
      <w:r>
        <w:t xml:space="preserve"> </w:t>
      </w:r>
      <w:r>
        <w:t xml:space="preserve">the ethical position of Slade and Prinsloo (2013) and the success conditions of DeLone and McLean (2003).</w:t>
      </w:r>
      <w:r>
        <w:t xml:space="preserve"> </w:t>
      </w:r>
      <w:r>
        <w:t xml:space="preserve">For future research, three directions follow. First, a</w:t>
      </w:r>
      <w:r>
        <w:t xml:space="preserve"> </w:t>
      </w:r>
      <w:r>
        <w:rPr>
          <w:b/>
          <w:bCs/>
        </w:rPr>
        <w:t xml:space="preserve">live institutional trial</w:t>
      </w:r>
      <w:r>
        <w:t xml:space="preserve"> </w:t>
      </w:r>
      <w:r>
        <w:t xml:space="preserve">would test the</w:t>
      </w:r>
      <w:r>
        <w:t xml:space="preserve"> </w:t>
      </w:r>
      <w:r>
        <w:t xml:space="preserve">acceptance and success constructs (Davis, 1989; DeLone and McLean, 2003) empirically, replacing synthetic</w:t>
      </w:r>
      <w:r>
        <w:t xml:space="preserve"> </w:t>
      </w:r>
      <w:r>
        <w:t xml:space="preserve">data with authentic outcomes. Second, the</w:t>
      </w:r>
      <w:r>
        <w:t xml:space="preserve"> </w:t>
      </w:r>
      <w:r>
        <w:rPr>
          <w:b/>
          <w:bCs/>
        </w:rPr>
        <w:t xml:space="preserve">small-sample confidence model</w:t>
      </w:r>
      <w:r>
        <w:t xml:space="preserve"> </w:t>
      </w:r>
      <w:r>
        <w:t xml:space="preserve">warrants formal study to</w:t>
      </w:r>
      <w:r>
        <w:t xml:space="preserve"> </w:t>
      </w:r>
      <w:r>
        <w:t xml:space="preserve">establish statistically defensible thresholds for early-term flagging. Third, the transparent composite</w:t>
      </w:r>
      <w:r>
        <w:t xml:space="preserve"> </w:t>
      </w:r>
      <w:r>
        <w:t xml:space="preserve">score could be</w:t>
      </w:r>
      <w:r>
        <w:t xml:space="preserve"> </w:t>
      </w:r>
      <w:r>
        <w:rPr>
          <w:b/>
          <w:bCs/>
        </w:rPr>
        <w:t xml:space="preserve">benchmarked against opaque predictive approaches</w:t>
      </w:r>
      <w:r>
        <w:t xml:space="preserve"> </w:t>
      </w:r>
      <w:r>
        <w:t xml:space="preserve">(Romero and Ventura, 2010) to quantify</w:t>
      </w:r>
      <w:r>
        <w:t xml:space="preserve"> </w:t>
      </w:r>
      <w:r>
        <w:t xml:space="preserve">the trade-off between explainability and predictive power in early-warning systems. These build directly</w:t>
      </w:r>
      <w:r>
        <w:t xml:space="preserve"> </w:t>
      </w:r>
      <w:r>
        <w:t xml:space="preserve">on the conclusions drawn in Chapter 6.</w:t>
      </w:r>
    </w:p>
    <w:bookmarkEnd w:id="156"/>
    <w:bookmarkEnd w:id="157"/>
    <w:bookmarkStart w:id="165" w:name="chapter-6-conclusion-and-recommendations"/>
    <w:p>
      <w:pPr>
        <w:pStyle w:val="Heading1"/>
        <w:pageBreakBefore/>
      </w:pPr>
      <w:r>
        <w:t xml:space="preserve">Chapter 6 — Conclusion and Recommendations</w:t>
      </w:r>
    </w:p>
    <w:p>
      <w:pPr>
        <w:pStyle w:val="FirstParagraph"/>
      </w:pPr>
      <w:r>
        <w:rPr>
          <w:i/>
          <w:iCs/>
        </w:rPr>
        <w:t xml:space="preserve">Contributes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LO3 — P6</w:t>
      </w:r>
      <w:r>
        <w:rPr>
          <w:i/>
          <w:iCs/>
        </w:rPr>
        <w:t xml:space="preserve"> </w:t>
      </w:r>
      <w:r>
        <w:rPr>
          <w:i/>
          <w:iCs/>
        </w:rPr>
        <w:t xml:space="preserve">(drawing valid conclusions)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| M5</w:t>
      </w:r>
      <w:r>
        <w:rPr>
          <w:i/>
          <w:iCs/>
        </w:rPr>
        <w:t xml:space="preserve">; final criteria mapping confirmed in Appendix I.</w:t>
      </w:r>
    </w:p>
    <w:bookmarkStart w:id="158" w:name="summary-of-the-project"/>
    <w:p>
      <w:pPr>
        <w:pStyle w:val="Heading2"/>
      </w:pPr>
      <w:r>
        <w:t xml:space="preserve">6.1 Summary of the Project</w:t>
      </w:r>
    </w:p>
    <w:p>
      <w:pPr>
        <w:pStyle w:val="FirstParagraph"/>
      </w:pPr>
      <w:r>
        <w:t xml:space="preserve">This project set out to design, develop and evaluate</w:t>
      </w:r>
      <w:r>
        <w:t xml:space="preserve"> </w:t>
      </w:r>
      <w:r>
        <w:rPr>
          <w:b/>
          <w:bCs/>
        </w:rPr>
        <w:t xml:space="preserve">EduMetric</w:t>
      </w:r>
      <w:r>
        <w:t xml:space="preserve">, a web-based, multi-dimensional</w:t>
      </w:r>
      <w:r>
        <w:t xml:space="preserve"> </w:t>
      </w:r>
      <w:r>
        <w:t xml:space="preserve">student performance analytics system intended to improve the transparency, accuracy and accessibility</w:t>
      </w:r>
      <w:r>
        <w:t xml:space="preserve"> </w:t>
      </w:r>
      <w:r>
        <w:t xml:space="preserve">of student evaluation, attendance management and early at-risk identification in educational</w:t>
      </w:r>
      <w:r>
        <w:t xml:space="preserve"> </w:t>
      </w:r>
      <w:r>
        <w:t xml:space="preserve">institutions. The work proceeded from a problem rooted in everyday institutional practice — that a</w:t>
      </w:r>
      <w:r>
        <w:t xml:space="preserve"> </w:t>
      </w:r>
      <w:r>
        <w:t xml:space="preserve">single grade-point average hides the dimensions that matter for timely support — to a working</w:t>
      </w:r>
      <w:r>
        <w:t xml:space="preserve"> </w:t>
      </w:r>
      <w:r>
        <w:t xml:space="preserve">full-stack artefact that replaces that single number with a transparent, configurable</w:t>
      </w:r>
      <w:r>
        <w:t xml:space="preserve"> </w:t>
      </w:r>
      <w:r>
        <w:rPr>
          <w:b/>
          <w:bCs/>
        </w:rPr>
        <w:t xml:space="preserve">composite</w:t>
      </w:r>
      <w:r>
        <w:rPr>
          <w:b/>
          <w:bCs/>
        </w:rPr>
        <w:t xml:space="preserve"> </w:t>
      </w:r>
      <w:r>
        <w:rPr>
          <w:b/>
          <w:bCs/>
        </w:rPr>
        <w:t xml:space="preserve">score</w:t>
      </w:r>
      <w:r>
        <w:t xml:space="preserve"> </w:t>
      </w:r>
      <w:r>
        <w:t xml:space="preserve">computed across seven weighted dimensions, alongside a</w:t>
      </w:r>
      <w:r>
        <w:t xml:space="preserve"> </w:t>
      </w:r>
      <w:r>
        <w:rPr>
          <w:b/>
          <w:bCs/>
        </w:rPr>
        <w:t xml:space="preserve">growth trend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at-risk</w:t>
      </w:r>
      <w:r>
        <w:rPr>
          <w:b/>
          <w:bCs/>
        </w:rPr>
        <w:t xml:space="preserve"> </w:t>
      </w:r>
      <w:r>
        <w:rPr>
          <w:b/>
          <w:bCs/>
        </w:rPr>
        <w:t xml:space="preserve">detection</w:t>
      </w:r>
      <w:r>
        <w:t xml:space="preserve"> </w:t>
      </w:r>
      <w:r>
        <w:t xml:space="preserve">signal. The system was built as a three-tier</w:t>
      </w:r>
      <w:r>
        <w:t xml:space="preserve"> </w:t>
      </w:r>
      <w:r>
        <w:rPr>
          <w:b/>
          <w:bCs/>
        </w:rPr>
        <w:t xml:space="preserve">modular monolith</w:t>
      </w:r>
      <w:r>
        <w:t xml:space="preserve">: a Next.js/React</w:t>
      </w:r>
      <w:r>
        <w:t xml:space="preserve"> </w:t>
      </w:r>
      <w:r>
        <w:t xml:space="preserve">frontend, a Java Spring Boot REST backend and a PostgreSQL database. The investigation was framed by a</w:t>
      </w:r>
      <w:r>
        <w:t xml:space="preserve"> </w:t>
      </w:r>
      <w:r>
        <w:t xml:space="preserve">pragmatist, design-science methodology (Hevner</w:t>
      </w:r>
      <w:r>
        <w:t xml:space="preserve"> </w:t>
      </w:r>
      <w:r>
        <w:rPr>
          <w:i/>
          <w:iCs/>
        </w:rPr>
        <w:t xml:space="preserve">et al.</w:t>
      </w:r>
      <w:r>
        <w:t xml:space="preserve">, 2004; Peffers</w:t>
      </w:r>
      <w:r>
        <w:t xml:space="preserve"> </w:t>
      </w:r>
      <w:r>
        <w:rPr>
          <w:i/>
          <w:iCs/>
        </w:rPr>
        <w:t xml:space="preserve">et al.</w:t>
      </w:r>
      <w:r>
        <w:t xml:space="preserve">, 2007) in which the</w:t>
      </w:r>
      <w:r>
        <w:t xml:space="preserve"> </w:t>
      </w:r>
      <w:r>
        <w:t xml:space="preserve">constructed system, its requirements-to-test traceability chain and its functional and</w:t>
      </w:r>
      <w:r>
        <w:t xml:space="preserve"> </w:t>
      </w:r>
      <w:r>
        <w:t xml:space="preserve">user-acceptance test results were the unit of inquiry. The central conclusion is that a transparent,</w:t>
      </w:r>
      <w:r>
        <w:t xml:space="preserve"> </w:t>
      </w:r>
      <w:r>
        <w:t xml:space="preserve">rule-based information system can deliver multi-dimensional student analytics that are both auditable</w:t>
      </w:r>
      <w:r>
        <w:t xml:space="preserve"> </w:t>
      </w:r>
      <w:r>
        <w:t xml:space="preserve">and locally deployable, derived rigorously from process models and requirements rather than asserted.</w:t>
      </w:r>
    </w:p>
    <w:bookmarkEnd w:id="158"/>
    <w:bookmarkStart w:id="159" w:name="achievement-of-objectives"/>
    <w:p>
      <w:pPr>
        <w:pStyle w:val="Heading2"/>
      </w:pPr>
      <w:r>
        <w:t xml:space="preserve">6.2 Achievement of Objectives</w:t>
      </w:r>
    </w:p>
    <w:p>
      <w:pPr>
        <w:pStyle w:val="FirstParagraph"/>
      </w:pPr>
      <w:r>
        <w:t xml:space="preserve">Each of the five objectives set in §1.4 was addressed, with its outcome and supporting evidence as</w:t>
      </w:r>
      <w:r>
        <w:t xml:space="preserve"> </w:t>
      </w:r>
      <w:r>
        <w:t xml:space="preserve">follows.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Objective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Outcome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Review the literature on learning analytics, educational information systems, multi-dimensional assessment, web architecture and data security (≥25 sources)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  <w:r>
              <w:t xml:space="preserve"> </w:t>
            </w:r>
            <w:r>
              <w:t xml:space="preserve">— six thematic strands synthesised from 32 sources, converging on the transparency gap</w:t>
            </w:r>
          </w:p>
        </w:tc>
        <w:tc>
          <w:tcPr/>
          <w:p>
            <w:pPr>
              <w:pStyle w:val="Compact"/>
            </w:pPr>
            <w:r>
              <w:t xml:space="preserve">Chapter 2; References (≥25)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Analyse and specify the functional and non-functional requirements of a transparent multi-dimensional student-evaluation system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  <w:r>
              <w:t xml:space="preserve"> </w:t>
            </w:r>
            <w:r>
              <w:t xml:space="preserve">— requirements derived from the problem domain and the EduMetric product master document</w:t>
            </w:r>
          </w:p>
        </w:tc>
        <w:tc>
          <w:tcPr/>
          <w:p>
            <w:pPr>
              <w:pStyle w:val="Compact"/>
            </w:pPr>
            <w:r>
              <w:t xml:space="preserve">§4.3.1 (Table 4.0); Chapter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Design the architecture, the PostgreSQL data model, the six core process models and the role-secured REST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  <w:r>
              <w:t xml:space="preserve"> </w:t>
            </w:r>
            <w:r>
              <w:t xml:space="preserve">— C4 architecture, ERD, six process models and the REST/RBAC design specified to industry standards</w:t>
            </w:r>
          </w:p>
        </w:tc>
        <w:tc>
          <w:tcPr/>
          <w:p>
            <w:pPr>
              <w:pStyle w:val="Compact"/>
            </w:pPr>
            <w:r>
              <w:t xml:space="preserve">§4.3.2–§4.3.6 (Fig 4.1–4.15; Tables 4.1–4.7)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Develop a full-stack web prototype implementing the core modules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  <w:r>
              <w:t xml:space="preserve"> </w:t>
            </w:r>
            <w:r>
              <w:t xml:space="preserve">— authentication, attendance, evaluation (metrics engine), analytics, at-risk detection and admin monitoring implemented and traced to code</w:t>
            </w:r>
          </w:p>
        </w:tc>
        <w:tc>
          <w:tcPr/>
          <w:p>
            <w:pPr>
              <w:pStyle w:val="Compact"/>
            </w:pPr>
            <w:r>
              <w:t xml:space="preserve">Chapter 4; Appendix J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Evaluate the system through functional and user-acceptance testing and a structured effectiveness assessment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Partially met</w:t>
            </w:r>
            <w:r>
              <w:t xml:space="preserve"> </w:t>
            </w:r>
            <w:r>
              <w:t xml:space="preserve">— RQ1–RQ4 answered, 30 documented test cases and a RAG effectiveness assessment completed; evaluation is bounded to a single artefact-based study (§5.6)</w:t>
            </w:r>
          </w:p>
        </w:tc>
        <w:tc>
          <w:tcPr/>
          <w:p>
            <w:pPr>
              <w:pStyle w:val="Compact"/>
            </w:pPr>
            <w:r>
              <w:t xml:space="preserve">§5.1, §5.5, §5.6; Appendix K</w:t>
            </w:r>
          </w:p>
        </w:tc>
      </w:tr>
    </w:tbl>
    <w:p>
      <w:pPr>
        <w:pStyle w:val="BodyText"/>
      </w:pPr>
      <w:r>
        <w:t xml:space="preserve">Objectives 1–4 are fully met: the literature foundation, the requirements specification, the complete</w:t>
      </w:r>
      <w:r>
        <w:t xml:space="preserve"> </w:t>
      </w:r>
      <w:r>
        <w:t xml:space="preserve">set of design artefacts and the working implementation are all present and internally traceable.</w:t>
      </w:r>
      <w:r>
        <w:t xml:space="preserve"> </w:t>
      </w:r>
      <w:r>
        <w:t xml:space="preserve">Objective 5 is marked</w:t>
      </w:r>
      <w:r>
        <w:t xml:space="preserve"> </w:t>
      </w:r>
      <w:r>
        <w:rPr>
          <w:i/>
          <w:iCs/>
        </w:rPr>
        <w:t xml:space="preserve">partially met</w:t>
      </w:r>
      <w:r>
        <w:t xml:space="preserve"> </w:t>
      </w:r>
      <w:r>
        <w:t xml:space="preserve">because, while functional testing, the user-acceptance scenarios</w:t>
      </w:r>
      <w:r>
        <w:t xml:space="preserve"> </w:t>
      </w:r>
      <w:r>
        <w:t xml:space="preserve">and the RAG effectiveness assessment were all completed and the four research questions answered, the</w:t>
      </w:r>
      <w:r>
        <w:t xml:space="preserve"> </w:t>
      </w:r>
      <w:r>
        <w:t xml:space="preserve">evaluation is by design bounded to a single-system, artefact-based study without live institutional</w:t>
      </w:r>
      <w:r>
        <w:t xml:space="preserve"> </w:t>
      </w:r>
      <w:r>
        <w:t xml:space="preserve">trials or human-subject data (§1.7, §5.6); its external validity therefore remains for future work.</w:t>
      </w:r>
      <w:r>
        <w:t xml:space="preserve"> </w:t>
      </w:r>
      <w:r>
        <w:t xml:space="preserve">The implemented interface evidencing these outcomes is provided in Appendix J, and the functional and</w:t>
      </w:r>
      <w:r>
        <w:t xml:space="preserve"> </w:t>
      </w:r>
      <w:r>
        <w:t xml:space="preserve">validation evidence in Appendix K.</w:t>
      </w:r>
    </w:p>
    <w:p>
      <w:pPr>
        <w:pStyle w:val="BodyText"/>
      </w:pPr>
      <w:r>
        <w:t xml:space="preserve">The objective related to system development was achieved through the implementation of the main</w:t>
      </w:r>
      <w:r>
        <w:t xml:space="preserve"> </w:t>
      </w:r>
      <w:r>
        <w:t xml:space="preserve">application modules. Evidence of the developed interface is shown in Appendix J, and evidence of</w:t>
      </w:r>
      <w:r>
        <w:t xml:space="preserve"> </w:t>
      </w:r>
      <w:r>
        <w:t xml:space="preserve">functional testing is provided in Appendix K.</w:t>
      </w:r>
    </w:p>
    <w:bookmarkEnd w:id="159"/>
    <w:bookmarkStart w:id="160" w:name="contribution-to-knowledge-and-practice"/>
    <w:p>
      <w:pPr>
        <w:pStyle w:val="Heading2"/>
      </w:pPr>
      <w:r>
        <w:t xml:space="preserve">6.3 Contribution to Knowledge and Practice</w:t>
      </w:r>
    </w:p>
    <w:p>
      <w:pPr>
        <w:pStyle w:val="FirstParagraph"/>
      </w:pPr>
      <w:r>
        <w:t xml:space="preserve">The project makes three complementary contributions. First, it delivers a</w:t>
      </w:r>
      <w:r>
        <w:t xml:space="preserve"> </w:t>
      </w:r>
      <w:r>
        <w:rPr>
          <w:b/>
          <w:bCs/>
        </w:rPr>
        <w:t xml:space="preserve">transparent, configurable</w:t>
      </w:r>
      <w:r>
        <w:rPr>
          <w:b/>
          <w:bCs/>
        </w:rPr>
        <w:t xml:space="preserve"> </w:t>
      </w:r>
      <w:r>
        <w:rPr>
          <w:b/>
          <w:bCs/>
        </w:rPr>
        <w:t xml:space="preserve">multi-dimensional student-analytics artefact</w:t>
      </w:r>
      <w:r>
        <w:t xml:space="preserve">: EduMetric computes a composite score from seven</w:t>
      </w:r>
      <w:r>
        <w:t xml:space="preserve"> </w:t>
      </w:r>
      <w:r>
        <w:t xml:space="preserve">auditable, re-weightable dimensions rather than a black-box prediction, demonstrating that decisions</w:t>
      </w:r>
      <w:r>
        <w:t xml:space="preserve"> </w:t>
      </w:r>
      <w:r>
        <w:t xml:space="preserve">affecting a student’s standing can be made explainable without sacrificing analytical depth (Slade and</w:t>
      </w:r>
      <w:r>
        <w:t xml:space="preserve"> </w:t>
      </w:r>
      <w:r>
        <w:t xml:space="preserve">Prinsloo, 2013). Second, it offers a</w:t>
      </w:r>
      <w:r>
        <w:t xml:space="preserve"> </w:t>
      </w:r>
      <w:r>
        <w:rPr>
          <w:b/>
          <w:bCs/>
        </w:rPr>
        <w:t xml:space="preserve">fully traceable, open-source reference implementation</w:t>
      </w:r>
      <w:r>
        <w:t xml:space="preserve"> </w:t>
      </w:r>
      <w:r>
        <w:t xml:space="preserve">— built</w:t>
      </w:r>
      <w:r>
        <w:t xml:space="preserve"> </w:t>
      </w:r>
      <w:r>
        <w:t xml:space="preserve">entirely on Next.js, Spring Boot and PostgreSQL and deployable as a single modular monolith — in which</w:t>
      </w:r>
      <w:r>
        <w:t xml:space="preserve"> </w:t>
      </w:r>
      <w:r>
        <w:t xml:space="preserve">every core process is traced through a fixed pathway from requirement to architecture module, database</w:t>
      </w:r>
      <w:r>
        <w:t xml:space="preserve"> </w:t>
      </w:r>
      <w:r>
        <w:t xml:space="preserve">entity, API endpoint and test evidence, giving institutions a worked, cost-effective pattern they can</w:t>
      </w:r>
      <w:r>
        <w:t xml:space="preserve"> </w:t>
      </w:r>
      <w:r>
        <w:t xml:space="preserve">adopt without commercial subscriptions. Third, it contributes the</w:t>
      </w:r>
      <w:r>
        <w:t xml:space="preserve"> </w:t>
      </w:r>
      <w:r>
        <w:rPr>
          <w:b/>
          <w:bCs/>
        </w:rPr>
        <w:t xml:space="preserve">design method</w:t>
      </w:r>
      <w:r>
        <w:t xml:space="preserve"> </w:t>
      </w:r>
      <w:r>
        <w:t xml:space="preserve">itself: a</w:t>
      </w:r>
      <w:r>
        <w:t xml:space="preserve"> </w:t>
      </w:r>
      <w:r>
        <w:t xml:space="preserve">disciplined, design-science process that combines process modelling (in BPMN 2.0), C4 architecture</w:t>
      </w:r>
      <w:r>
        <w:t xml:space="preserve"> </w:t>
      </w:r>
      <w:r>
        <w:t xml:space="preserve">diagrams, an ERD, UML sequence diagrams and a role-secured REST API specification into a coherent,</w:t>
      </w:r>
      <w:r>
        <w:t xml:space="preserve"> </w:t>
      </w:r>
      <w:r>
        <w:t xml:space="preserve">verifiable engineering chain. Together these address the gap identified in §2.5 — the path from process</w:t>
      </w:r>
      <w:r>
        <w:t xml:space="preserve"> </w:t>
      </w:r>
      <w:r>
        <w:t xml:space="preserve">intent to validated, transparent software is demonstrated end to end, not merely proposed.</w:t>
      </w:r>
    </w:p>
    <w:bookmarkEnd w:id="160"/>
    <w:bookmarkStart w:id="163" w:name="recommendations"/>
    <w:p>
      <w:pPr>
        <w:pStyle w:val="Heading2"/>
      </w:pPr>
      <w:r>
        <w:t xml:space="preserve">6.4 Recommendations</w:t>
      </w:r>
    </w:p>
    <w:bookmarkStart w:id="161" w:name="for-practitioners-and-industry"/>
    <w:p>
      <w:pPr>
        <w:pStyle w:val="Heading3"/>
      </w:pPr>
      <w:r>
        <w:t xml:space="preserve">6.4.1 For Practitioners and Industry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transparent, configurable scoring over black-box prediction.</w:t>
      </w:r>
      <w:r>
        <w:t xml:space="preserve"> </w:t>
      </w:r>
      <w:r>
        <w:t xml:space="preserve">Institutions adopting</w:t>
      </w:r>
      <w:r>
        <w:t xml:space="preserve"> </w:t>
      </w:r>
      <w:r>
        <w:t xml:space="preserve">analytics should favour a composite model whose dimensions and weights are visible and adjustable,</w:t>
      </w:r>
      <w:r>
        <w:t xml:space="preserve"> </w:t>
      </w:r>
      <w:r>
        <w:t xml:space="preserve">so that staff, students and parents can understand and trust the basis of any decision, and so the</w:t>
      </w:r>
      <w:r>
        <w:t xml:space="preserve"> </w:t>
      </w:r>
      <w:r>
        <w:t xml:space="preserve">model can be tuned to local pedagogy.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Maintain a fixed traceability pathway in version control.</w:t>
      </w:r>
      <w:r>
        <w:t xml:space="preserve"> </w:t>
      </w:r>
      <w:r>
        <w:t xml:space="preserve">Small teams gain most of the project’s</w:t>
      </w:r>
      <w:r>
        <w:t xml:space="preserve"> </w:t>
      </w:r>
      <w:r>
        <w:t xml:space="preserve">engineering benefit at low cost by committing to a single, explicit process → requirement → module →</w:t>
      </w:r>
      <w:r>
        <w:t xml:space="preserve"> </w:t>
      </w:r>
      <w:r>
        <w:t xml:space="preserve">entity → endpoint → test chain held alongside the code, so that divergence between design and</w:t>
      </w:r>
      <w:r>
        <w:t xml:space="preserve"> </w:t>
      </w:r>
      <w:r>
        <w:t xml:space="preserve">implementation is surfaced early.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 the modular monolith as a sensible default.</w:t>
      </w:r>
      <w:r>
        <w:t xml:space="preserve"> </w:t>
      </w:r>
      <w:r>
        <w:t xml:space="preserve">For a single institution, a well-structured</w:t>
      </w:r>
      <w:r>
        <w:t xml:space="preserve"> </w:t>
      </w:r>
      <w:r>
        <w:t xml:space="preserve">three-tier modular monolith on open-source technologies delivers the required functionality and</w:t>
      </w:r>
      <w:r>
        <w:t xml:space="preserve"> </w:t>
      </w:r>
      <w:r>
        <w:t xml:space="preserve">security without the operational cost of a distributed architecture.</w:t>
      </w:r>
    </w:p>
    <w:bookmarkEnd w:id="161"/>
    <w:bookmarkStart w:id="162" w:name="for-future-researchers"/>
    <w:p>
      <w:pPr>
        <w:pStyle w:val="Heading3"/>
      </w:pPr>
      <w:r>
        <w:t xml:space="preserve">6.4.2 For Future Researchers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external validity</w:t>
      </w:r>
      <w:r>
        <w:t xml:space="preserve"> </w:t>
      </w:r>
      <w:r>
        <w:t xml:space="preserve">by deploying the system in live institutional settings and evaluating it</w:t>
      </w:r>
      <w:r>
        <w:t xml:space="preserve"> </w:t>
      </w:r>
      <w:r>
        <w:t xml:space="preserve">with real users, extending the bounded, artefact-based evaluation of this study (§5.6).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Validate the composite-score formula empirically</w:t>
      </w:r>
      <w:r>
        <w:t xml:space="preserve"> </w:t>
      </w:r>
      <w:r>
        <w:t xml:space="preserve">against longitudinal outcomes, calibrating the</w:t>
      </w:r>
      <w:r>
        <w:t xml:space="preserve"> </w:t>
      </w:r>
      <w:r>
        <w:t xml:space="preserve">default weights and at-risk thresholds across different cohorts and disciplines.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Investigate hybrid scoring</w:t>
      </w:r>
      <w:r>
        <w:t xml:space="preserve">, comparing the transparent rule-based model against, or in</w:t>
      </w:r>
      <w:r>
        <w:t xml:space="preserve"> </w:t>
      </w:r>
      <w:r>
        <w:t xml:space="preserve">combination with, predictive techniques to assess any trade-off between explainability and</w:t>
      </w:r>
      <w:r>
        <w:t xml:space="preserve"> </w:t>
      </w:r>
      <w:r>
        <w:t xml:space="preserve">predictive accuracy.</w:t>
      </w:r>
    </w:p>
    <w:bookmarkEnd w:id="162"/>
    <w:bookmarkEnd w:id="163"/>
    <w:bookmarkStart w:id="164" w:name="closing-remarks"/>
    <w:p>
      <w:pPr>
        <w:pStyle w:val="Heading2"/>
      </w:pPr>
      <w:r>
        <w:t xml:space="preserve">6.5 Closing Remarks</w:t>
      </w:r>
    </w:p>
    <w:p>
      <w:pPr>
        <w:pStyle w:val="FirstParagraph"/>
      </w:pPr>
      <w:r>
        <w:t xml:space="preserve">EduMetric set out to replace a single opaque number with a transparent, multi-dimensional view of</w:t>
      </w:r>
      <w:r>
        <w:t xml:space="preserve"> </w:t>
      </w:r>
      <w:r>
        <w:t xml:space="preserve">student growth. This dissertation has shown that the same value of transparency applies to the</w:t>
      </w:r>
      <w:r>
        <w:t xml:space="preserve"> </w:t>
      </w:r>
      <w:r>
        <w:rPr>
          <w:i/>
          <w:iCs/>
        </w:rPr>
        <w:t xml:space="preserve">engineering</w:t>
      </w:r>
      <w:r>
        <w:t xml:space="preserve"> </w:t>
      </w:r>
      <w:r>
        <w:t xml:space="preserve">of such a system: when requirements and processes are modelled deliberately and traced</w:t>
      </w:r>
      <w:r>
        <w:t xml:space="preserve"> </w:t>
      </w:r>
      <w:r>
        <w:t xml:space="preserve">into code, the relationship between what was intended, what was designed and what was built becomes</w:t>
      </w:r>
      <w:r>
        <w:t xml:space="preserve"> </w:t>
      </w:r>
      <w:r>
        <w:t xml:space="preserve">visible and auditable. The result is a working, locally deployable analytics platform whose every</w:t>
      </w:r>
      <w:r>
        <w:t xml:space="preserve"> </w:t>
      </w:r>
      <w:r>
        <w:t xml:space="preserve">score can be explained and whose every feature can be followed back to a requirement — evidence that a</w:t>
      </w:r>
      <w:r>
        <w:t xml:space="preserve"> </w:t>
      </w:r>
      <w:r>
        <w:t xml:space="preserve">fair, intelligible alternative to black-box student evaluation is not only desirable but practical to</w:t>
      </w:r>
      <w:r>
        <w:t xml:space="preserve"> </w:t>
      </w:r>
      <w:r>
        <w:t xml:space="preserve">build.</w:t>
      </w:r>
    </w:p>
    <w:bookmarkEnd w:id="164"/>
    <w:bookmarkEnd w:id="165"/>
    <w:bookmarkStart w:id="171" w:name="chapter-7-reflective-evaluation"/>
    <w:p>
      <w:pPr>
        <w:pStyle w:val="Heading1"/>
        <w:pageBreakBefore/>
      </w:pPr>
      <w:r>
        <w:t xml:space="preserve">Chapter 7 — Reflective Evaluation</w:t>
      </w:r>
    </w:p>
    <w:p>
      <w:pPr>
        <w:pStyle w:val="FirstParagraph"/>
      </w:pPr>
      <w:r>
        <w:rPr>
          <w:i/>
          <w:iCs/>
        </w:rPr>
        <w:t xml:space="preserve">Addresses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LO4 — P7 | D4</w:t>
      </w:r>
    </w:p>
    <w:bookmarkStart w:id="166" w:name="choice-of-reflective-model"/>
    <w:p>
      <w:pPr>
        <w:pStyle w:val="Heading2"/>
      </w:pPr>
      <w:r>
        <w:t xml:space="preserve">7.1 Choice of Reflective Model</w:t>
      </w:r>
    </w:p>
    <w:p>
      <w:pPr>
        <w:pStyle w:val="FirstParagraph"/>
      </w:pPr>
      <w:r>
        <w:t xml:space="preserve">I have structured this reflection using</w:t>
      </w:r>
      <w:r>
        <w:t xml:space="preserve"> </w:t>
      </w:r>
      <w:r>
        <w:rPr>
          <w:b/>
          <w:bCs/>
        </w:rPr>
        <w:t xml:space="preserve">Gibbs’ Reflective Cycle</w:t>
      </w:r>
      <w:r>
        <w:t xml:space="preserve"> </w:t>
      </w:r>
      <w:r>
        <w:t xml:space="preserve">(Gibbs, 1988), which moves through</w:t>
      </w:r>
      <w:r>
        <w:t xml:space="preserve"> </w:t>
      </w:r>
      <w:r>
        <w:t xml:space="preserve">six stages — description, feelings, evaluation, analysis, conclusion and action plan. I chose Gibbs over</w:t>
      </w:r>
      <w:r>
        <w:t xml:space="preserve"> </w:t>
      </w:r>
      <w:r>
        <w:t xml:space="preserve">a purely descriptive account because its later stages force a shift from</w:t>
      </w:r>
      <w:r>
        <w:t xml:space="preserve"> </w:t>
      </w:r>
      <w:r>
        <w:rPr>
          <w:i/>
          <w:iCs/>
        </w:rPr>
        <w:t xml:space="preserve">what happened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what I</w:t>
      </w:r>
      <w:r>
        <w:rPr>
          <w:i/>
          <w:iCs/>
        </w:rPr>
        <w:t xml:space="preserve"> </w:t>
      </w:r>
      <w:r>
        <w:rPr>
          <w:i/>
          <w:iCs/>
        </w:rPr>
        <w:t xml:space="preserve">learned and what I will change</w:t>
      </w:r>
      <w:r>
        <w:t xml:space="preserve">, which is the level of critical depth this chapter requires. A simpler</w:t>
      </w:r>
      <w:r>
        <w:t xml:space="preserve"> </w:t>
      </w:r>
      <w:r>
        <w:t xml:space="preserve">diary-style account would have let me list activities without interrogating my decisions; Gibbs makes</w:t>
      </w:r>
      <w:r>
        <w:t xml:space="preserve"> </w:t>
      </w:r>
      <w:r>
        <w:t xml:space="preserve">analysis and an action plan compulsory, so it is harder to be superficial. To keep the reflection</w:t>
      </w:r>
      <w:r>
        <w:t xml:space="preserve"> </w:t>
      </w:r>
      <w:r>
        <w:t xml:space="preserve">specific rather than generic, I have anchored each stage in concrete events from designing and building</w:t>
      </w:r>
      <w:r>
        <w:t xml:space="preserve"> </w:t>
      </w:r>
      <w:r>
        <w:t xml:space="preserve">EduMetric rather than in abstractions about</w:t>
      </w:r>
      <w:r>
        <w:t xml:space="preserve"> </w:t>
      </w:r>
      <w:r>
        <w:t xml:space="preserve">“the project”</w:t>
      </w:r>
      <w:r>
        <w:t xml:space="preserve"> </w:t>
      </w:r>
      <w:r>
        <w:t xml:space="preserve">as a whole.</w:t>
      </w:r>
    </w:p>
    <w:bookmarkEnd w:id="166"/>
    <w:bookmarkStart w:id="167" w:name="reflection-through-gibbs-cycle"/>
    <w:p>
      <w:pPr>
        <w:pStyle w:val="Heading2"/>
      </w:pPr>
      <w:r>
        <w:t xml:space="preserve">7.2 Reflection through Gibbs’ Cycle</w:t>
      </w:r>
    </w:p>
    <w:p>
      <w:pPr>
        <w:pStyle w:val="FirstParagraph"/>
      </w:pPr>
      <w:r>
        <w:rPr>
          <w:b/>
          <w:bCs/>
        </w:rPr>
        <w:t xml:space="preserve">7.2.1 Description.</w:t>
      </w:r>
      <w:r>
        <w:t xml:space="preserve"> </w:t>
      </w:r>
      <w:r>
        <w:t xml:space="preserve">Over roughly 24 weeks I designed, built and evaluated EduMetric, a web-based</w:t>
      </w:r>
      <w:r>
        <w:t xml:space="preserve"> </w:t>
      </w:r>
      <w:r>
        <w:t xml:space="preserve">multi-dimensional student performance analytics system, working across a Next.js/React frontend, a Java</w:t>
      </w:r>
      <w:r>
        <w:t xml:space="preserve"> </w:t>
      </w:r>
      <w:r>
        <w:t xml:space="preserve">Spring Boot backend and a PostgreSQL database. The defining technical episodes were: designing the</w:t>
      </w:r>
      <w:r>
        <w:t xml:space="preserve"> </w:t>
      </w:r>
      <w:r>
        <w:t xml:space="preserve">transparent</w:t>
      </w:r>
      <w:r>
        <w:t xml:space="preserve"> </w:t>
      </w:r>
      <w:r>
        <w:rPr>
          <w:b/>
          <w:bCs/>
        </w:rPr>
        <w:t xml:space="preserve">composite-score metrics engine</w:t>
      </w:r>
      <w:r>
        <w:t xml:space="preserve"> </w:t>
      </w:r>
      <w:r>
        <w:t xml:space="preserve">with its seven weighted dimensions and configurable</w:t>
      </w:r>
      <w:r>
        <w:t xml:space="preserve"> </w:t>
      </w:r>
      <w:r>
        <w:t xml:space="preserve">weights; deciding to make the metric</w:t>
      </w:r>
      <w:r>
        <w:t xml:space="preserve"> </w:t>
      </w:r>
      <w:r>
        <w:rPr>
          <w:b/>
          <w:bCs/>
        </w:rPr>
        <w:t xml:space="preserve">recompute synchronous and in-transaction</w:t>
      </w:r>
      <w:r>
        <w:t xml:space="preserve"> </w:t>
      </w:r>
      <w:r>
        <w:t xml:space="preserve">rather than deferred to</w:t>
      </w:r>
      <w:r>
        <w:t xml:space="preserve"> </w:t>
      </w:r>
      <w:r>
        <w:t xml:space="preserve">a background job; reconciling the PostgreSQL data model (the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 </w:t>
      </w:r>
      <w:r>
        <w:t xml:space="preserve">tables and the</w:t>
      </w:r>
      <w:r>
        <w:t xml:space="preserve"> </w:t>
      </w:r>
      <w:r>
        <w:rPr>
          <w:rStyle w:val="VerbatimChar"/>
        </w:rPr>
        <w:t xml:space="preserve">formula_config</w:t>
      </w:r>
      <w:r>
        <w:t xml:space="preserve">) with what the implementation actually persisted; and keeping a single,</w:t>
      </w:r>
      <w:r>
        <w:t xml:space="preserve"> </w:t>
      </w:r>
      <w:r>
        <w:t xml:space="preserve">locked terminology and a requirements-to-test traceability chain consistent across all seven chapters of</w:t>
      </w:r>
      <w:r>
        <w:t xml:space="preserve"> </w:t>
      </w:r>
      <w:r>
        <w:t xml:space="preserve">the dissertation while the code itself was still evolving. Modelling the six core processes in BPMN 2.0</w:t>
      </w:r>
      <w:r>
        <w:t xml:space="preserve"> </w:t>
      </w:r>
      <w:r>
        <w:t xml:space="preserve">was one design technique among several — alongside the architecture and ERD work — and it too had to be</w:t>
      </w:r>
      <w:r>
        <w:t xml:space="preserve"> </w:t>
      </w:r>
      <w:r>
        <w:t xml:space="preserve">validated against the running system.</w:t>
      </w:r>
    </w:p>
    <w:p>
      <w:pPr>
        <w:pStyle w:val="BodyText"/>
      </w:pPr>
      <w:r>
        <w:rPr>
          <w:b/>
          <w:bCs/>
        </w:rPr>
        <w:t xml:space="preserve">7.2.2 Feelings.</w:t>
      </w:r>
      <w:r>
        <w:t xml:space="preserve"> </w:t>
      </w:r>
      <w:r>
        <w:t xml:space="preserve">Early on I felt confident architecting the system on paper but uneasy about whether</w:t>
      </w:r>
      <w:r>
        <w:t xml:space="preserve"> </w:t>
      </w:r>
      <w:r>
        <w:t xml:space="preserve">the design would survive contact with real code, especially the scoring formula. ⟨STUDENT INPUT: add a</w:t>
      </w:r>
      <w:r>
        <w:t xml:space="preserve"> </w:t>
      </w:r>
      <w:r>
        <w:t xml:space="preserve">sentence on how you actually felt at the midpoint — for example, anxiety before the supervisor review, or</w:t>
      </w:r>
      <w:r>
        <w:t xml:space="preserve"> </w:t>
      </w:r>
      <w:r>
        <w:t xml:space="preserve">relief when the metrics engine first returned a believable composite score for a test student.⟩ When I</w:t>
      </w:r>
      <w:r>
        <w:t xml:space="preserve"> </w:t>
      </w:r>
      <w:r>
        <w:t xml:space="preserve">discovered that some endpoints and field names I had designed early had since drifted in the</w:t>
      </w:r>
      <w:r>
        <w:t xml:space="preserve"> </w:t>
      </w:r>
      <w:r>
        <w:t xml:space="preserve">implementation, my first reaction was deflation — it felt like an error — before I recognised it as</w:t>
      </w:r>
      <w:r>
        <w:t xml:space="preserve"> </w:t>
      </w:r>
      <w:r>
        <w:t xml:space="preserve">exactly what the traceability matrix existed to catch, which turned the feeling into something closer to</w:t>
      </w:r>
      <w:r>
        <w:t xml:space="preserve"> </w:t>
      </w:r>
      <w:r>
        <w:t xml:space="preserve">quiet satisfaction.</w:t>
      </w:r>
    </w:p>
    <w:p>
      <w:pPr>
        <w:pStyle w:val="BodyText"/>
      </w:pPr>
      <w:r>
        <w:rPr>
          <w:b/>
          <w:bCs/>
        </w:rPr>
        <w:t xml:space="preserve">7.2.3 Evaluation.</w:t>
      </w:r>
      <w:r>
        <w:t xml:space="preserve"> </w:t>
      </w:r>
      <w:r>
        <w:t xml:space="preserve">What went well was the discipline of building the system against a fixed</w:t>
      </w:r>
      <w:r>
        <w:t xml:space="preserve"> </w:t>
      </w:r>
      <w:r>
        <w:t xml:space="preserve">traceability pathway: once each requirement was tied to a module, an entity, an endpoint and a test, the</w:t>
      </w:r>
      <w:r>
        <w:t xml:space="preserve"> </w:t>
      </w:r>
      <w:r>
        <w:t xml:space="preserve">implementation had a clear target and the write-up flowed from the evidence rather than from memory.</w:t>
      </w:r>
      <w:r>
        <w:t xml:space="preserve"> </w:t>
      </w:r>
      <w:r>
        <w:t xml:space="preserve">Locking the terminology at the outset paid off — I never had to reconcile competing names for the</w:t>
      </w:r>
      <w:r>
        <w:t xml:space="preserve"> </w:t>
      </w:r>
      <w:r>
        <w:t xml:space="preserve">composite score, the growth trend or the metrics tables late in the project. What went less well was my</w:t>
      </w:r>
      <w:r>
        <w:t xml:space="preserve"> </w:t>
      </w:r>
      <w:r>
        <w:t xml:space="preserve">initial scheduling optimism: running the build and the academic writing in parallel meant the</w:t>
      </w:r>
      <w:r>
        <w:t xml:space="preserve"> </w:t>
      </w:r>
      <w:r>
        <w:t xml:space="preserve">implementation-heavy middle phases overran and ate into my buffer weeks, which is the realised form of</w:t>
      </w:r>
      <w:r>
        <w:t xml:space="preserve"> </w:t>
      </w:r>
      <w:r>
        <w:t xml:space="preserve">risk R04 in my register.</w:t>
      </w:r>
    </w:p>
    <w:p>
      <w:pPr>
        <w:pStyle w:val="BodyText"/>
      </w:pPr>
      <w:r>
        <w:rPr>
          <w:b/>
          <w:bCs/>
        </w:rPr>
        <w:t xml:space="preserve">7.2.4 Analysis.</w:t>
      </w:r>
      <w:r>
        <w:t xml:space="preserve"> </w:t>
      </w:r>
      <w:r>
        <w:t xml:space="preserve">Reflecting on</w:t>
      </w:r>
      <w:r>
        <w:t xml:space="preserve"> </w:t>
      </w:r>
      <w:r>
        <w:rPr>
          <w:i/>
          <w:iCs/>
        </w:rPr>
        <w:t xml:space="preserve">why</w:t>
      </w:r>
      <w:r>
        <w:t xml:space="preserve">, the decision to make the metric recompute</w:t>
      </w:r>
      <w:r>
        <w:t xml:space="preserve"> </w:t>
      </w:r>
      <w:r>
        <w:rPr>
          <w:b/>
          <w:bCs/>
        </w:rPr>
        <w:t xml:space="preserve">synchronous and</w:t>
      </w:r>
      <w:r>
        <w:rPr>
          <w:b/>
          <w:bCs/>
        </w:rPr>
        <w:t xml:space="preserve"> </w:t>
      </w:r>
      <w:r>
        <w:rPr>
          <w:b/>
          <w:bCs/>
        </w:rPr>
        <w:t xml:space="preserve">in-transaction</w:t>
      </w:r>
      <w:r>
        <w:t xml:space="preserve"> </w:t>
      </w:r>
      <w:r>
        <w:t xml:space="preserve">taught me the most. I had first sketched it as a tidy, deferred background step, because</w:t>
      </w:r>
      <w:r>
        <w:t xml:space="preserve"> </w:t>
      </w:r>
      <w:r>
        <w:t xml:space="preserve">that is how many systems handle expensive recomputation. Building it forced the real trade-off into the</w:t>
      </w:r>
      <w:r>
        <w:t xml:space="preserve"> </w:t>
      </w:r>
      <w:r>
        <w:t xml:space="preserve">open: deferring the recompute would have let a teacher save a grade and then see a stale composite score,</w:t>
      </w:r>
      <w:r>
        <w:t xml:space="preserve"> </w:t>
      </w:r>
      <w:r>
        <w:t xml:space="preserve">undermining the very transparency the system exists to provide, whereas computing it inside the same</w:t>
      </w:r>
      <w:r>
        <w:t xml:space="preserve"> </w:t>
      </w:r>
      <w:r>
        <w:t xml:space="preserve">transaction guarantees that what a user reads is always consistent with what was just written, at the</w:t>
      </w:r>
      <w:r>
        <w:t xml:space="preserve"> </w:t>
      </w:r>
      <w:r>
        <w:t xml:space="preserve">cost of a slightly heavier write path. Choosing consistency over raw throughput was the right call for an</w:t>
      </w:r>
      <w:r>
        <w:t xml:space="preserve"> </w:t>
      </w:r>
      <w:r>
        <w:t xml:space="preserve">analytics tool whose credibility depends on users trusting the number — and it showed me that a single</w:t>
      </w:r>
      <w:r>
        <w:t xml:space="preserve"> </w:t>
      </w:r>
      <w:r>
        <w:t xml:space="preserve">line on a design diagram can conceal a genuine engineering decision with real performance and consistency</w:t>
      </w:r>
      <w:r>
        <w:t xml:space="preserve"> </w:t>
      </w:r>
      <w:r>
        <w:t xml:space="preserve">consequences.</w:t>
      </w:r>
    </w:p>
    <w:p>
      <w:pPr>
        <w:pStyle w:val="BodyText"/>
      </w:pPr>
      <w:r>
        <w:t xml:space="preserve">A second analytical insight concerned</w:t>
      </w:r>
      <w:r>
        <w:t xml:space="preserve"> </w:t>
      </w:r>
      <w:r>
        <w:rPr>
          <w:i/>
          <w:iCs/>
        </w:rPr>
        <w:t xml:space="preserve">keeping the design honest</w:t>
      </w:r>
      <w:r>
        <w:t xml:space="preserve">. When I reconciled the data model with</w:t>
      </w:r>
      <w:r>
        <w:t xml:space="preserve"> </w:t>
      </w:r>
      <w:r>
        <w:t xml:space="preserve">the implementation and found the endpoint and naming drift, I understood that a design artefact’s value</w:t>
      </w:r>
      <w:r>
        <w:t xml:space="preserve"> </w:t>
      </w:r>
      <w:r>
        <w:t xml:space="preserve">is not in being drawn once but in being maintained against an evolving build — the difference between a</w:t>
      </w:r>
      <w:r>
        <w:t xml:space="preserve"> </w:t>
      </w:r>
      <w:r>
        <w:t xml:space="preserve">diagram as decoration and a diagram as engineering. The same lesson applied to terminology: the</w:t>
      </w:r>
      <w:r>
        <w:t xml:space="preserve"> </w:t>
      </w:r>
      <w:r>
        <w:t xml:space="preserve">discipline of fixing words like</w:t>
      </w:r>
      <w:r>
        <w:t xml:space="preserve"> </w:t>
      </w:r>
      <w:r>
        <w:rPr>
          <w:i/>
          <w:iCs/>
        </w:rPr>
        <w:t xml:space="preserve">composite score</w:t>
      </w:r>
      <w:r>
        <w:t xml:space="preserve">,</w:t>
      </w:r>
      <w:r>
        <w:t xml:space="preserve"> </w:t>
      </w:r>
      <w:r>
        <w:rPr>
          <w:i/>
          <w:iCs/>
        </w:rPr>
        <w:t xml:space="preserve">at-risk detection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 </w:t>
      </w:r>
      <w:r>
        <w:t xml:space="preserve">once and</w:t>
      </w:r>
      <w:r>
        <w:t xml:space="preserve"> </w:t>
      </w:r>
      <w:r>
        <w:t xml:space="preserve">never renaming them was what let the data model, the API and the prose agree with one another. I had</w:t>
      </w:r>
      <w:r>
        <w:t xml:space="preserve"> </w:t>
      </w:r>
      <w:r>
        <w:t xml:space="preserve">argued for this kind of consistency abstractly in my literature review, but I only understood it</w:t>
      </w:r>
      <w:r>
        <w:t xml:space="preserve"> </w:t>
      </w:r>
      <w:r>
        <w:t xml:space="preserve">concretely through the act of building, where an inconsistent name in one layer quietly breaks a query or</w:t>
      </w:r>
      <w:r>
        <w:t xml:space="preserve"> </w:t>
      </w:r>
      <w:r>
        <w:t xml:space="preserve">a test two layers away.</w:t>
      </w:r>
    </w:p>
    <w:p>
      <w:pPr>
        <w:pStyle w:val="BodyText"/>
      </w:pPr>
      <w:r>
        <w:rPr>
          <w:b/>
          <w:bCs/>
        </w:rPr>
        <w:t xml:space="preserve">7.2.5 Conclusion.</w:t>
      </w:r>
      <w:r>
        <w:t xml:space="preserve"> </w:t>
      </w:r>
      <w:r>
        <w:t xml:space="preserve">I conclude that my strongest growth was in</w:t>
      </w:r>
      <w:r>
        <w:t xml:space="preserve"> </w:t>
      </w:r>
      <w:r>
        <w:rPr>
          <w:i/>
          <w:iCs/>
        </w:rPr>
        <w:t xml:space="preserve">traceability thinking</w:t>
      </w:r>
      <w:r>
        <w:t xml:space="preserve"> </w:t>
      </w:r>
      <w:r>
        <w:t xml:space="preserve">— treating the</w:t>
      </w:r>
      <w:r>
        <w:t xml:space="preserve"> </w:t>
      </w:r>
      <w:r>
        <w:t xml:space="preserve">link between intent, design and implementation as a maintained artefact rather than a one-off document —</w:t>
      </w:r>
      <w:r>
        <w:t xml:space="preserve"> </w:t>
      </w:r>
      <w:r>
        <w:t xml:space="preserve">and in making and defending deliberate engineering trade-offs, of which the synchronous recompute is the</w:t>
      </w:r>
      <w:r>
        <w:t xml:space="preserve"> </w:t>
      </w:r>
      <w:r>
        <w:t xml:space="preserve">clearest example. My main weakness was front-loading too little schedule buffer before the most demanding</w:t>
      </w:r>
      <w:r>
        <w:t xml:space="preserve"> </w:t>
      </w:r>
      <w:r>
        <w:t xml:space="preserve">build phases. I also learned that admitting a discrepancy — reporting the implemented truth about the</w:t>
      </w:r>
      <w:r>
        <w:t xml:space="preserve"> </w:t>
      </w:r>
      <w:r>
        <w:t xml:space="preserve">drifted endpoints rather than hiding it — produced a more honest and ultimately stronger dissertation.</w:t>
      </w:r>
      <w:r>
        <w:t xml:space="preserve"> </w:t>
      </w:r>
      <w:r>
        <w:t xml:space="preserve">Equally, the discipline I initially resented, locking terminology and keeping the traceability chain</w:t>
      </w:r>
      <w:r>
        <w:t xml:space="preserve"> </w:t>
      </w:r>
      <w:r>
        <w:t xml:space="preserve">current, was exactly what made the final build coherent and the write-up fast, a lesson I expect to carry</w:t>
      </w:r>
      <w:r>
        <w:t xml:space="preserve"> </w:t>
      </w:r>
      <w:r>
        <w:t xml:space="preserve">into professional practice where systems outlive any single developer’s memory of them.</w:t>
      </w:r>
    </w:p>
    <w:p>
      <w:pPr>
        <w:pStyle w:val="BodyText"/>
      </w:pPr>
      <w:r>
        <w:rPr>
          <w:b/>
          <w:bCs/>
        </w:rPr>
        <w:t xml:space="preserve">7.2.6 Action Plan.</w:t>
      </w:r>
      <w:r>
        <w:t xml:space="preserve"> </w:t>
      </w:r>
      <w:r>
        <w:t xml:space="preserve">In future projects I will (a) establish the traceability chain and locked</w:t>
      </w:r>
      <w:r>
        <w:t xml:space="preserve"> </w:t>
      </w:r>
      <w:r>
        <w:t xml:space="preserve">terminology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building, not alongside it; (b) reserve a larger buffer ahead of</w:t>
      </w:r>
      <w:r>
        <w:t xml:space="preserve"> </w:t>
      </w:r>
      <w:r>
        <w:t xml:space="preserve">implementation-intensive phases and resist running design, build and writing fully in parallel; and (c)</w:t>
      </w:r>
      <w:r>
        <w:t xml:space="preserve"> </w:t>
      </w:r>
      <w:r>
        <w:t xml:space="preserve">make explicit, recorded decisions about trade-offs such as synchronous versus deferred computation early,</w:t>
      </w:r>
      <w:r>
        <w:t xml:space="preserve"> </w:t>
      </w:r>
      <w:r>
        <w:t xml:space="preserve">rather than discovering them mid-build. ⟨STUDENT INPUT: add one personal action, for example a specific</w:t>
      </w:r>
      <w:r>
        <w:t xml:space="preserve"> </w:t>
      </w:r>
      <w:r>
        <w:t xml:space="preserve">tool or habit — such as keeping a decision log or writing tests before features — that you will adopt</w:t>
      </w:r>
      <w:r>
        <w:t xml:space="preserve"> </w:t>
      </w:r>
      <w:r>
        <w:t xml:space="preserve">next.⟩</w:t>
      </w:r>
    </w:p>
    <w:bookmarkEnd w:id="167"/>
    <w:bookmarkStart w:id="168" w:name="swot-of-personal-development"/>
    <w:p>
      <w:pPr>
        <w:pStyle w:val="Heading2"/>
      </w:pPr>
      <w:r>
        <w:t xml:space="preserve">7.3 SWOT of Personal Development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Strengths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Weaknesses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Systematic traceability and documentation discipline across the build</w:t>
            </w:r>
          </w:p>
        </w:tc>
        <w:tc>
          <w:tcPr/>
          <w:p>
            <w:pPr>
              <w:pStyle w:val="Compact"/>
            </w:pPr>
            <w:r>
              <w:t xml:space="preserve">Initial under-estimation of effort in the implementation-heavy phases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Ability to turn an abstract design into working, consistent code</w:t>
            </w:r>
          </w:p>
        </w:tc>
        <w:tc>
          <w:tcPr/>
          <w:p>
            <w:pPr>
              <w:pStyle w:val="Compact"/>
            </w:pPr>
            <w:r>
              <w:t xml:space="preserve">Tendency to over-engineer a design before validating the simplest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 across the full stack (Spring Boot, PostgreSQL schema, REST, React)</w:t>
            </w:r>
          </w:p>
        </w:tc>
        <w:tc>
          <w:tcPr/>
          <w:p>
            <w:pPr>
              <w:pStyle w:val="Compact"/>
            </w:pPr>
            <w:r>
              <w:t xml:space="preserve">⟨STUDENT INPUT: a genuine personal weakness, for example difficulty asking for help early⟩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Opportunities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Threats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the design-build-evaluate method on industry placements</w:t>
            </w:r>
          </w:p>
        </w:tc>
        <w:tc>
          <w:tcPr/>
          <w:p>
            <w:pPr>
              <w:pStyle w:val="Compact"/>
            </w:pPr>
            <w:r>
              <w:t xml:space="preserve">Framework and tooling churn (Spring, Next.js and library version changes)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 EduMetric with richer analytics or a deployment study</w:t>
            </w:r>
          </w:p>
        </w:tc>
        <w:tc>
          <w:tcPr/>
          <w:p>
            <w:pPr>
              <w:pStyle w:val="Compact"/>
            </w:pPr>
            <w:r>
              <w:t xml:space="preserve">Time pressure when academic and software-development work overlap</w:t>
            </w:r>
          </w:p>
        </w:tc>
      </w:tr>
    </w:tbl>
    <w:bookmarkEnd w:id="168"/>
    <w:bookmarkStart w:id="169" w:name="transferable-skills"/>
    <w:p>
      <w:pPr>
        <w:pStyle w:val="Heading2"/>
      </w:pPr>
      <w:r>
        <w:t xml:space="preserve">7.4 Transferable Skills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Skill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Level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Evidence from this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architecture reasoning</w:t>
            </w:r>
          </w:p>
        </w:tc>
        <w:tc>
          <w:tcPr/>
          <w:p>
            <w:pPr>
              <w:pStyle w:val="Compact"/>
            </w:pPr>
            <w:r>
              <w:t xml:space="preserve">Proficient</w:t>
            </w:r>
          </w:p>
        </w:tc>
        <w:tc>
          <w:tcPr/>
          <w:p>
            <w:pPr>
              <w:pStyle w:val="Compact"/>
            </w:pPr>
            <w:r>
              <w:t xml:space="preserve">Three-tier modular monolith; C4 + module decomposition (Fig 4.1–4.4)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Full-stack development (Spring Boot, React, PostgreSQL)</w:t>
            </w:r>
          </w:p>
        </w:tc>
        <w:tc>
          <w:tcPr/>
          <w:p>
            <w:pPr>
              <w:pStyle w:val="Compact"/>
            </w:pPr>
            <w:r>
              <w:t xml:space="preserve">Proficient</w:t>
            </w:r>
          </w:p>
        </w:tc>
        <w:tc>
          <w:tcPr/>
          <w:p>
            <w:pPr>
              <w:pStyle w:val="Compact"/>
            </w:pPr>
            <w:r>
              <w:t xml:space="preserve">Implemented authentication, attendance, the metrics engine, analytics and admin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Algorithm / metrics design</w:t>
            </w:r>
          </w:p>
        </w:tc>
        <w:tc>
          <w:tcPr/>
          <w:p>
            <w:pPr>
              <w:pStyle w:val="Compact"/>
            </w:pPr>
            <w:r>
              <w:t xml:space="preserve">Competent</w:t>
            </w:r>
          </w:p>
        </w:tc>
        <w:tc>
          <w:tcPr/>
          <w:p>
            <w:pPr>
              <w:pStyle w:val="Compact"/>
            </w:pPr>
            <w:r>
              <w:t xml:space="preserve">Transparent composite-score engine, seven weighted dimensions, synchronous in-transaction recompute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design</w:t>
            </w:r>
          </w:p>
        </w:tc>
        <w:tc>
          <w:tcPr/>
          <w:p>
            <w:pPr>
              <w:pStyle w:val="Compact"/>
            </w:pPr>
            <w:r>
              <w:t xml:space="preserve">Competent</w:t>
            </w:r>
          </w:p>
        </w:tc>
        <w:tc>
          <w:tcPr/>
          <w:p>
            <w:pPr>
              <w:pStyle w:val="Compact"/>
            </w:pPr>
            <w:r>
              <w:t xml:space="preserve">ERD reconciled with the live schema, including</w:t>
            </w:r>
            <w:r>
              <w:t xml:space="preserve"> </w:t>
            </w:r>
            <w:r>
              <w:rPr>
                <w:rStyle w:val="VerbatimChar"/>
              </w:rPr>
              <w:t xml:space="preserve">student_metrics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metric_snapshots</w:t>
            </w:r>
            <w:r>
              <w:t xml:space="preserve"> </w:t>
            </w:r>
            <w:r>
              <w:t xml:space="preserve">(Fig 4.5)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 traceability</w:t>
            </w:r>
          </w:p>
        </w:tc>
        <w:tc>
          <w:tcPr/>
          <w:p>
            <w:pPr>
              <w:pStyle w:val="Compact"/>
            </w:pPr>
            <w:r>
              <w:t xml:space="preserve">Proficient</w:t>
            </w:r>
          </w:p>
        </w:tc>
        <w:tc>
          <w:tcPr/>
          <w:p>
            <w:pPr>
              <w:pStyle w:val="Compact"/>
            </w:pPr>
            <w:r>
              <w:t xml:space="preserve">Tables 4.1–4.7, each link verified against the running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design (REST)</w:t>
            </w:r>
          </w:p>
        </w:tc>
        <w:tc>
          <w:tcPr/>
          <w:p>
            <w:pPr>
              <w:pStyle w:val="Compact"/>
            </w:pPr>
            <w:r>
              <w:t xml:space="preserve">Competent</w:t>
            </w:r>
          </w:p>
        </w:tc>
        <w:tc>
          <w:tcPr/>
          <w:p>
            <w:pPr>
              <w:pStyle w:val="Compact"/>
            </w:pPr>
            <w:r>
              <w:t xml:space="preserve">Role-secured endpoint inventory grounded in the modelled processes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 writing &amp; referencing</w:t>
            </w:r>
          </w:p>
        </w:tc>
        <w:tc>
          <w:tcPr/>
          <w:p>
            <w:pPr>
              <w:pStyle w:val="Compact"/>
            </w:pPr>
            <w:r>
              <w:t xml:space="preserve">Developing</w:t>
            </w:r>
          </w:p>
        </w:tc>
        <w:tc>
          <w:tcPr/>
          <w:p>
            <w:pPr>
              <w:pStyle w:val="Compact"/>
            </w:pPr>
            <w:r>
              <w:t xml:space="preserve">This dissertation; 25+ Harvard 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&amp; risk management</w:t>
            </w:r>
          </w:p>
        </w:tc>
        <w:tc>
          <w:tcPr/>
          <w:p>
            <w:pPr>
              <w:pStyle w:val="Compact"/>
            </w:pPr>
            <w:r>
              <w:t xml:space="preserve">Developing</w:t>
            </w:r>
          </w:p>
        </w:tc>
        <w:tc>
          <w:tcPr/>
          <w:p>
            <w:pPr>
              <w:pStyle w:val="Compact"/>
            </w:pPr>
            <w:r>
              <w:t xml:space="preserve">Gantt, risk register and milestone delivery (Ch 3)</w:t>
            </w:r>
          </w:p>
        </w:tc>
      </w:tr>
    </w:tbl>
    <w:bookmarkEnd w:id="169"/>
    <w:bookmarkStart w:id="170" w:name="future-development-plan-d4"/>
    <w:p>
      <w:pPr>
        <w:pStyle w:val="Heading2"/>
      </w:pPr>
      <w:r>
        <w:t xml:space="preserve">7.5 Future Development Plan (D4)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Goal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Action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Timeframe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Deepen architecture expertise</w:t>
            </w:r>
          </w:p>
        </w:tc>
        <w:tc>
          <w:tcPr/>
          <w:p>
            <w:pPr>
              <w:pStyle w:val="Compact"/>
            </w:pPr>
            <w:r>
              <w:t xml:space="preserve">Complete a recognised software-architecture course and design a second multi-module system from scratch</w:t>
            </w:r>
          </w:p>
        </w:tc>
        <w:tc>
          <w:tcPr/>
          <w:p>
            <w:pPr>
              <w:pStyle w:val="Compact"/>
            </w:pPr>
            <w:r>
              <w:t xml:space="preserve">0–6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Strengthen evaluation and testing skills</w:t>
            </w:r>
          </w:p>
        </w:tc>
        <w:tc>
          <w:tcPr/>
          <w:p>
            <w:pPr>
              <w:pStyle w:val="Compact"/>
            </w:pPr>
            <w:r>
              <w:t xml:space="preserve">Extend EduMetric’s test suite and trial a small deployment / user-acceptance study with real workflows</w:t>
            </w:r>
          </w:p>
        </w:tc>
        <w:tc>
          <w:tcPr/>
          <w:p>
            <w:pPr>
              <w:pStyle w:val="Compact"/>
            </w:pPr>
            <w:r>
              <w:t xml:space="preserve">6–12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professional engineering practice</w:t>
            </w:r>
          </w:p>
        </w:tc>
        <w:tc>
          <w:tcPr/>
          <w:p>
            <w:pPr>
              <w:pStyle w:val="Compact"/>
            </w:pPr>
            <w:r>
              <w:t xml:space="preserve">Contribute the traceability and locked-terminology approach in a placement or open-source project</w:t>
            </w:r>
          </w:p>
        </w:tc>
        <w:tc>
          <w:tcPr/>
          <w:p>
            <w:pPr>
              <w:pStyle w:val="Compact"/>
            </w:pPr>
            <w:r>
              <w:t xml:space="preserve">6–18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 planning discipline</w:t>
            </w:r>
          </w:p>
        </w:tc>
        <w:tc>
          <w:tcPr/>
          <w:p>
            <w:pPr>
              <w:pStyle w:val="Compact"/>
            </w:pPr>
            <w:r>
              <w:t xml:space="preserve">Adopt buffer-first scheduling, an explicit decision log and continuous design-to-code validation as default habits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p>
      <w:pPr>
        <w:pStyle w:val="BodyText"/>
      </w:pPr>
      <w:r>
        <w:t xml:space="preserve">⟨STUDENT INPUT: personalise the goals and timeframes to your own career intentions — for example a</w:t>
      </w:r>
      <w:r>
        <w:t xml:space="preserve"> </w:t>
      </w:r>
      <w:r>
        <w:t xml:space="preserve">specific role, employer or technology you want to move towards.⟩</w:t>
      </w:r>
    </w:p>
    <w:bookmarkEnd w:id="170"/>
    <w:bookmarkEnd w:id="171"/>
    <w:bookmarkStart w:id="172" w:name="references"/>
    <w:p>
      <w:pPr>
        <w:pStyle w:val="Heading1"/>
        <w:pageBreakBefore/>
      </w:pPr>
      <w:r>
        <w:t xml:space="preserve">References</w:t>
      </w:r>
    </w:p>
    <w:p>
      <w:pPr>
        <w:pStyle w:val="FirstParagraph"/>
      </w:pPr>
      <w:r>
        <w:rPr>
          <w:i/>
          <w:iCs/>
        </w:rPr>
        <w:t xml:space="preserve">All sources are cited in Harvard (author–date) style. A hanging indent is applied to each entry on final formatting.</w:t>
      </w:r>
    </w:p>
    <w:p>
      <w:pPr>
        <w:pStyle w:val="BodyText"/>
      </w:pPr>
      <w:r>
        <w:t xml:space="preserve">Arnold, K.E. and Pistilli, M.D. (2012)</w:t>
      </w:r>
      <w:r>
        <w:t xml:space="preserve"> </w:t>
      </w:r>
      <w:r>
        <w:t xml:space="preserve">‘Course Signals at Purdue: using learning analytics to increase student success’</w:t>
      </w:r>
      <w:r>
        <w:t xml:space="preserve">,</w:t>
      </w:r>
      <w:r>
        <w:t xml:space="preserve"> </w:t>
      </w:r>
      <w:r>
        <w:rPr>
          <w:i/>
          <w:iCs/>
        </w:rPr>
        <w:t xml:space="preserve">Proceedings of the 2nd International Conference on Learning Analytics and Knowledge (LAK ’12)</w:t>
      </w:r>
      <w:r>
        <w:t xml:space="preserve">, pp. 267–270.</w:t>
      </w:r>
    </w:p>
    <w:p>
      <w:pPr>
        <w:pStyle w:val="BodyText"/>
      </w:pPr>
      <w:r>
        <w:t xml:space="preserve">Bass, L., Clements, P. and Kazman, R. (2012)</w:t>
      </w:r>
      <w:r>
        <w:t xml:space="preserve"> </w:t>
      </w:r>
      <w:r>
        <w:rPr>
          <w:i/>
          <w:iCs/>
        </w:rPr>
        <w:t xml:space="preserve">Software Architecture in Practice</w:t>
      </w:r>
      <w:r>
        <w:t xml:space="preserve">. 3rd edn. Upper Saddle River, NJ: Addison-Wesley.</w:t>
      </w:r>
    </w:p>
    <w:p>
      <w:pPr>
        <w:pStyle w:val="BodyText"/>
      </w:pPr>
      <w:r>
        <w:t xml:space="preserve">Beck, K.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(2001)</w:t>
      </w:r>
      <w:r>
        <w:t xml:space="preserve"> </w:t>
      </w:r>
      <w:r>
        <w:rPr>
          <w:i/>
          <w:iCs/>
        </w:rPr>
        <w:t xml:space="preserve">Manifesto for Agile Software Development</w:t>
      </w:r>
      <w:r>
        <w:t xml:space="preserve">. Available at: https://agilemanifesto.org/ (Accessed: 13 June 2026).</w:t>
      </w:r>
    </w:p>
    <w:p>
      <w:pPr>
        <w:pStyle w:val="BodyText"/>
      </w:pPr>
      <w:r>
        <w:t xml:space="preserve">Bell, J. and Waters, S. (2018)</w:t>
      </w:r>
      <w:r>
        <w:t xml:space="preserve"> </w:t>
      </w:r>
      <w:r>
        <w:rPr>
          <w:i/>
          <w:iCs/>
        </w:rPr>
        <w:t xml:space="preserve">Doing Your Research Project: A Guide for First-Time Researchers</w:t>
      </w:r>
      <w:r>
        <w:t xml:space="preserve">. 7th edn. London: Open University Press.</w:t>
      </w:r>
    </w:p>
    <w:p>
      <w:pPr>
        <w:pStyle w:val="BodyText"/>
      </w:pPr>
      <w:r>
        <w:t xml:space="preserve">Connolly, T. and Begg, C. (2015)</w:t>
      </w:r>
      <w:r>
        <w:t xml:space="preserve"> </w:t>
      </w:r>
      <w:r>
        <w:rPr>
          <w:i/>
          <w:iCs/>
        </w:rPr>
        <w:t xml:space="preserve">Database Systems: A Practical Approach to Design, Implementation, and Management</w:t>
      </w:r>
      <w:r>
        <w:t xml:space="preserve">. 6th edn. Harlow: Pearson Education.</w:t>
      </w:r>
    </w:p>
    <w:p>
      <w:pPr>
        <w:pStyle w:val="BodyText"/>
      </w:pPr>
      <w:r>
        <w:t xml:space="preserve">Davis, F.D. (1989)</w:t>
      </w:r>
      <w:r>
        <w:t xml:space="preserve"> </w:t>
      </w:r>
      <w:r>
        <w:t xml:space="preserve">‘Perceived usefulness, perceived ease of use, and user acceptance of information technology’</w:t>
      </w:r>
      <w:r>
        <w:t xml:space="preserve">,</w:t>
      </w:r>
      <w:r>
        <w:t xml:space="preserve"> </w:t>
      </w:r>
      <w:r>
        <w:rPr>
          <w:i/>
          <w:iCs/>
        </w:rPr>
        <w:t xml:space="preserve">MIS Quarterly</w:t>
      </w:r>
      <w:r>
        <w:t xml:space="preserve">, 13(3), pp. 319–340.</w:t>
      </w:r>
    </w:p>
    <w:p>
      <w:pPr>
        <w:pStyle w:val="BodyText"/>
      </w:pPr>
      <w:r>
        <w:t xml:space="preserve">DeLone, W.H. and McLean, E.R. (2003)</w:t>
      </w:r>
      <w:r>
        <w:t xml:space="preserve"> </w:t>
      </w:r>
      <w:r>
        <w:t xml:space="preserve">‘The DeLone and McLean model of information systems success: a ten-year update’</w:t>
      </w:r>
      <w:r>
        <w:t xml:space="preserve">,</w:t>
      </w:r>
      <w:r>
        <w:t xml:space="preserve"> </w:t>
      </w:r>
      <w:r>
        <w:rPr>
          <w:i/>
          <w:iCs/>
        </w:rPr>
        <w:t xml:space="preserve">Journal of Management Information Systems</w:t>
      </w:r>
      <w:r>
        <w:t xml:space="preserve">, 19(4), pp. 9–30.</w:t>
      </w:r>
    </w:p>
    <w:p>
      <w:pPr>
        <w:pStyle w:val="BodyText"/>
      </w:pPr>
      <w:r>
        <w:t xml:space="preserve">Dumas, M., La Rosa, M., Mendling, J. and Reijers, H.A. (2018)</w:t>
      </w:r>
      <w:r>
        <w:t xml:space="preserve"> </w:t>
      </w:r>
      <w:r>
        <w:rPr>
          <w:i/>
          <w:iCs/>
        </w:rPr>
        <w:t xml:space="preserve">Fundamentals of Business Process Management</w:t>
      </w:r>
      <w:r>
        <w:t xml:space="preserve">. 2nd edn. Berlin: Springer.</w:t>
      </w:r>
    </w:p>
    <w:p>
      <w:pPr>
        <w:pStyle w:val="BodyText"/>
      </w:pPr>
      <w:r>
        <w:t xml:space="preserve">European Parliament and Council of the European Union (2016)</w:t>
      </w:r>
      <w:r>
        <w:t xml:space="preserve"> </w:t>
      </w:r>
      <w:r>
        <w:rPr>
          <w:i/>
          <w:iCs/>
        </w:rPr>
        <w:t xml:space="preserve">Regulation (EU) 2016/679 (General Data Protection Regulation)</w:t>
      </w:r>
      <w:r>
        <w:t xml:space="preserve">. Official Journal of the European Union, L119, pp. 1–88.</w:t>
      </w:r>
    </w:p>
    <w:p>
      <w:pPr>
        <w:pStyle w:val="BodyText"/>
      </w:pPr>
      <w:r>
        <w:t xml:space="preserve">Ferguson, R. (2012)</w:t>
      </w:r>
      <w:r>
        <w:t xml:space="preserve"> </w:t>
      </w:r>
      <w:r>
        <w:t xml:space="preserve">‘Learning analytics: drivers, developments and challenges’</w:t>
      </w:r>
      <w:r>
        <w:t xml:space="preserve">,</w:t>
      </w:r>
      <w:r>
        <w:t xml:space="preserve"> </w:t>
      </w:r>
      <w:r>
        <w:rPr>
          <w:i/>
          <w:iCs/>
        </w:rPr>
        <w:t xml:space="preserve">International Journal of Technology Enhanced Learning</w:t>
      </w:r>
      <w:r>
        <w:t xml:space="preserve">, 4(5/6), pp. 304–317.</w:t>
      </w:r>
    </w:p>
    <w:p>
      <w:pPr>
        <w:pStyle w:val="BodyText"/>
      </w:pPr>
      <w:r>
        <w:t xml:space="preserve">Fielding, R.T. (2000)</w:t>
      </w:r>
      <w:r>
        <w:t xml:space="preserve"> </w:t>
      </w:r>
      <w:r>
        <w:rPr>
          <w:i/>
          <w:iCs/>
        </w:rPr>
        <w:t xml:space="preserve">Architectural Styles and the Design of Network-based Software Architectures</w:t>
      </w:r>
      <w:r>
        <w:t xml:space="preserve">. PhD thesis. University of California, Irvine.</w:t>
      </w:r>
    </w:p>
    <w:p>
      <w:pPr>
        <w:pStyle w:val="BodyText"/>
      </w:pPr>
      <w:r>
        <w:t xml:space="preserve">Fowler, M. (2002)</w:t>
      </w:r>
      <w:r>
        <w:t xml:space="preserve"> </w:t>
      </w:r>
      <w:r>
        <w:rPr>
          <w:i/>
          <w:iCs/>
        </w:rPr>
        <w:t xml:space="preserve">Patterns of Enterprise Application Architecture</w:t>
      </w:r>
      <w:r>
        <w:t xml:space="preserve">. Boston, MA: Addison-Wesley.</w:t>
      </w:r>
    </w:p>
    <w:p>
      <w:pPr>
        <w:pStyle w:val="BodyText"/>
      </w:pPr>
      <w:r>
        <w:t xml:space="preserve">Gibbs, G. (1988)</w:t>
      </w:r>
      <w:r>
        <w:t xml:space="preserve"> </w:t>
      </w:r>
      <w:r>
        <w:rPr>
          <w:i/>
          <w:iCs/>
        </w:rPr>
        <w:t xml:space="preserve">Learning by Doing: A Guide to Teaching and Learning Methods</w:t>
      </w:r>
      <w:r>
        <w:t xml:space="preserve">. Oxford: Further Education Unit, Oxford Polytechnic.</w:t>
      </w:r>
    </w:p>
    <w:p>
      <w:pPr>
        <w:pStyle w:val="BodyText"/>
      </w:pPr>
      <w:r>
        <w:t xml:space="preserve">Hevner, A.R., March, S.T., Park, J. and Ram, S. (2004)</w:t>
      </w:r>
      <w:r>
        <w:t xml:space="preserve"> </w:t>
      </w:r>
      <w:r>
        <w:t xml:space="preserve">‘Design science in information systems research’</w:t>
      </w:r>
      <w:r>
        <w:t xml:space="preserve">,</w:t>
      </w:r>
      <w:r>
        <w:t xml:space="preserve"> </w:t>
      </w:r>
      <w:r>
        <w:rPr>
          <w:i/>
          <w:iCs/>
        </w:rPr>
        <w:t xml:space="preserve">MIS Quarterly</w:t>
      </w:r>
      <w:r>
        <w:t xml:space="preserve">, 28(1), pp. 75–105.</w:t>
      </w:r>
    </w:p>
    <w:p>
      <w:pPr>
        <w:pStyle w:val="BodyText"/>
      </w:pPr>
      <w:r>
        <w:t xml:space="preserve">Macfadyen, L.P. and Dawson, S. (2010)</w:t>
      </w:r>
      <w:r>
        <w:t xml:space="preserve"> </w:t>
      </w:r>
      <w:r>
        <w:t xml:space="preserve">‘Mining LMS data to develop an</w:t>
      </w:r>
      <w:r>
        <w:t xml:space="preserve"> </w:t>
      </w:r>
      <w:r>
        <w:t xml:space="preserve">“early warning system”</w:t>
      </w:r>
      <w:r>
        <w:t xml:space="preserve"> </w:t>
      </w:r>
      <w:r>
        <w:t xml:space="preserve">for educators: a proof of concept’</w:t>
      </w:r>
      <w:r>
        <w:t xml:space="preserve">,</w:t>
      </w:r>
      <w:r>
        <w:t xml:space="preserve"> </w:t>
      </w:r>
      <w:r>
        <w:rPr>
          <w:i/>
          <w:iCs/>
        </w:rPr>
        <w:t xml:space="preserve">Computers &amp; Education</w:t>
      </w:r>
      <w:r>
        <w:t xml:space="preserve">, 54(2), pp. 588–599.</w:t>
      </w:r>
    </w:p>
    <w:p>
      <w:pPr>
        <w:pStyle w:val="BodyText"/>
      </w:pPr>
      <w:r>
        <w:t xml:space="preserve">Newman, S. (2015)</w:t>
      </w:r>
      <w:r>
        <w:t xml:space="preserve"> </w:t>
      </w:r>
      <w:r>
        <w:rPr>
          <w:i/>
          <w:iCs/>
        </w:rPr>
        <w:t xml:space="preserve">Building Microservices: Designing Fine-Grained Systems</w:t>
      </w:r>
      <w:r>
        <w:t xml:space="preserve">. Sebastopol, CA: O’Reilly Media.</w:t>
      </w:r>
    </w:p>
    <w:p>
      <w:pPr>
        <w:pStyle w:val="BodyText"/>
      </w:pPr>
      <w:r>
        <w:t xml:space="preserve">Oates, B.J. (2006)</w:t>
      </w:r>
      <w:r>
        <w:t xml:space="preserve"> </w:t>
      </w:r>
      <w:r>
        <w:rPr>
          <w:i/>
          <w:iCs/>
        </w:rPr>
        <w:t xml:space="preserve">Researching Information Systems and Computing</w:t>
      </w:r>
      <w:r>
        <w:t xml:space="preserve">. London: Sage.</w:t>
      </w:r>
    </w:p>
    <w:p>
      <w:pPr>
        <w:pStyle w:val="BodyText"/>
      </w:pPr>
      <w:r>
        <w:t xml:space="preserve">Object Management Group (2011)</w:t>
      </w:r>
      <w:r>
        <w:t xml:space="preserve"> </w:t>
      </w:r>
      <w:r>
        <w:rPr>
          <w:i/>
          <w:iCs/>
        </w:rPr>
        <w:t xml:space="preserve">Business Process Model and Notation (BPMN) Version 2.0</w:t>
      </w:r>
      <w:r>
        <w:t xml:space="preserve">. Needham, MA: Object Management Group. Available at: https://www.omg.org/spec/BPMN/2.0/ (Accessed: 13 June 2026).</w:t>
      </w:r>
    </w:p>
    <w:p>
      <w:pPr>
        <w:pStyle w:val="BodyText"/>
      </w:pPr>
      <w:r>
        <w:t xml:space="preserve">OpenAPI Initiative (2021)</w:t>
      </w:r>
      <w:r>
        <w:t xml:space="preserve"> </w:t>
      </w:r>
      <w:r>
        <w:rPr>
          <w:i/>
          <w:iCs/>
        </w:rPr>
        <w:t xml:space="preserve">OpenAPI Specification v3.1.0</w:t>
      </w:r>
      <w:r>
        <w:t xml:space="preserve">. The Linux Foundation. Available at: https://spec.openapis.org/oas/v3.1.0 (Accessed: 13 June 2026).</w:t>
      </w:r>
    </w:p>
    <w:p>
      <w:pPr>
        <w:pStyle w:val="BodyText"/>
      </w:pPr>
      <w:r>
        <w:t xml:space="preserve">Peffers, K., Tuunanen, T., Rothenberger, M.A. and Chatterjee, S. (2007)</w:t>
      </w:r>
      <w:r>
        <w:t xml:space="preserve"> </w:t>
      </w:r>
      <w:r>
        <w:t xml:space="preserve">‘A design science research methodology for information systems research’</w:t>
      </w:r>
      <w:r>
        <w:t xml:space="preserve">,</w:t>
      </w:r>
      <w:r>
        <w:t xml:space="preserve"> </w:t>
      </w:r>
      <w:r>
        <w:rPr>
          <w:i/>
          <w:iCs/>
        </w:rPr>
        <w:t xml:space="preserve">Journal of Management Information Systems</w:t>
      </w:r>
      <w:r>
        <w:t xml:space="preserve">, 24(3), pp. 45–77.</w:t>
      </w:r>
    </w:p>
    <w:p>
      <w:pPr>
        <w:pStyle w:val="BodyText"/>
      </w:pPr>
      <w:r>
        <w:t xml:space="preserve">Pohl, K. (2010)</w:t>
      </w:r>
      <w:r>
        <w:t xml:space="preserve"> </w:t>
      </w:r>
      <w:r>
        <w:rPr>
          <w:i/>
          <w:iCs/>
        </w:rPr>
        <w:t xml:space="preserve">Requirements Engineering: Fundamentals, Principles, and Techniques</w:t>
      </w:r>
      <w:r>
        <w:t xml:space="preserve">. Berlin: Springer.</w:t>
      </w:r>
    </w:p>
    <w:p>
      <w:pPr>
        <w:pStyle w:val="BodyText"/>
      </w:pPr>
      <w:r>
        <w:t xml:space="preserve">Richards, M. and Ford, N. (2020)</w:t>
      </w:r>
      <w:r>
        <w:t xml:space="preserve"> </w:t>
      </w:r>
      <w:r>
        <w:rPr>
          <w:i/>
          <w:iCs/>
        </w:rPr>
        <w:t xml:space="preserve">Fundamentals of Software Architecture: An Engineering Approach</w:t>
      </w:r>
      <w:r>
        <w:t xml:space="preserve">. Sebastopol, CA: O’Reilly Media.</w:t>
      </w:r>
    </w:p>
    <w:p>
      <w:pPr>
        <w:pStyle w:val="BodyText"/>
      </w:pPr>
      <w:r>
        <w:t xml:space="preserve">Richardson, L. and Amundsen, M. (2013)</w:t>
      </w:r>
      <w:r>
        <w:t xml:space="preserve"> </w:t>
      </w:r>
      <w:r>
        <w:rPr>
          <w:i/>
          <w:iCs/>
        </w:rPr>
        <w:t xml:space="preserve">RESTful Web APIs</w:t>
      </w:r>
      <w:r>
        <w:t xml:space="preserve">. Sebastopol, CA: O’Reilly Media.</w:t>
      </w:r>
    </w:p>
    <w:p>
      <w:pPr>
        <w:pStyle w:val="BodyText"/>
      </w:pPr>
      <w:r>
        <w:t xml:space="preserve">Romero, C. and Ventura, S. (2010)</w:t>
      </w:r>
      <w:r>
        <w:t xml:space="preserve"> </w:t>
      </w:r>
      <w:r>
        <w:t xml:space="preserve">‘Educational data mining: a review of the state of the art’</w:t>
      </w:r>
      <w:r>
        <w:t xml:space="preserve">,</w:t>
      </w:r>
      <w:r>
        <w:t xml:space="preserve"> </w:t>
      </w:r>
      <w:r>
        <w:rPr>
          <w:i/>
          <w:iCs/>
        </w:rPr>
        <w:t xml:space="preserve">IEEE Transactions on Systems, Man, and Cybernetics, Part C</w:t>
      </w:r>
      <w:r>
        <w:t xml:space="preserve">, 40(6), pp. 601–618.</w:t>
      </w:r>
    </w:p>
    <w:p>
      <w:pPr>
        <w:pStyle w:val="BodyText"/>
      </w:pPr>
      <w:r>
        <w:t xml:space="preserve">Sandhu, R.S., Coyne, E.J., Feinstein, H.L. and Youman, C.E. (1996)</w:t>
      </w:r>
      <w:r>
        <w:t xml:space="preserve"> </w:t>
      </w:r>
      <w:r>
        <w:t xml:space="preserve">‘Role-based access control models’</w:t>
      </w:r>
      <w:r>
        <w:t xml:space="preserve">,</w:t>
      </w:r>
      <w:r>
        <w:t xml:space="preserve"> </w:t>
      </w:r>
      <w:r>
        <w:rPr>
          <w:i/>
          <w:iCs/>
        </w:rPr>
        <w:t xml:space="preserve">IEEE Computer</w:t>
      </w:r>
      <w:r>
        <w:t xml:space="preserve">, 29(2), pp. 38–47.</w:t>
      </w:r>
    </w:p>
    <w:p>
      <w:pPr>
        <w:pStyle w:val="BodyText"/>
      </w:pPr>
      <w:r>
        <w:t xml:space="preserve">Saunders, M., Lewis, P. and Thornhill, A. (2019)</w:t>
      </w:r>
      <w:r>
        <w:t xml:space="preserve"> </w:t>
      </w:r>
      <w:r>
        <w:rPr>
          <w:i/>
          <w:iCs/>
        </w:rPr>
        <w:t xml:space="preserve">Research Methods for Business Students</w:t>
      </w:r>
      <w:r>
        <w:t xml:space="preserve">. 8th edn. Harlow: Pearson Education.</w:t>
      </w:r>
    </w:p>
    <w:p>
      <w:pPr>
        <w:pStyle w:val="BodyText"/>
      </w:pPr>
      <w:r>
        <w:t xml:space="preserve">Siemens, G. and Long, P. (2011)</w:t>
      </w:r>
      <w:r>
        <w:t xml:space="preserve"> </w:t>
      </w:r>
      <w:r>
        <w:t xml:space="preserve">‘Penetrating the fog: analytics in learning and education’</w:t>
      </w:r>
      <w:r>
        <w:t xml:space="preserve">,</w:t>
      </w:r>
      <w:r>
        <w:t xml:space="preserve"> </w:t>
      </w:r>
      <w:r>
        <w:rPr>
          <w:i/>
          <w:iCs/>
        </w:rPr>
        <w:t xml:space="preserve">EDUCAUSE Review</w:t>
      </w:r>
      <w:r>
        <w:t xml:space="preserve">, 46(5), pp. 30–40.</w:t>
      </w:r>
    </w:p>
    <w:p>
      <w:pPr>
        <w:pStyle w:val="BodyText"/>
      </w:pPr>
      <w:r>
        <w:t xml:space="preserve">Silberschatz, A., Korth, H.F. and Sudarshan, S. (2019)</w:t>
      </w:r>
      <w:r>
        <w:t xml:space="preserve"> </w:t>
      </w:r>
      <w:r>
        <w:rPr>
          <w:i/>
          <w:iCs/>
        </w:rPr>
        <w:t xml:space="preserve">Database System Concepts</w:t>
      </w:r>
      <w:r>
        <w:t xml:space="preserve">. 7th edn. New York: McGraw-Hill.</w:t>
      </w:r>
    </w:p>
    <w:p>
      <w:pPr>
        <w:pStyle w:val="BodyText"/>
      </w:pPr>
      <w:r>
        <w:t xml:space="preserve">Slade, S. and Prinsloo, P. (2013)</w:t>
      </w:r>
      <w:r>
        <w:t xml:space="preserve"> </w:t>
      </w:r>
      <w:r>
        <w:t xml:space="preserve">‘Learning analytics: ethical issues and dilemmas’</w:t>
      </w:r>
      <w:r>
        <w:t xml:space="preserve">,</w:t>
      </w:r>
      <w:r>
        <w:t xml:space="preserve"> </w:t>
      </w:r>
      <w:r>
        <w:rPr>
          <w:i/>
          <w:iCs/>
        </w:rPr>
        <w:t xml:space="preserve">American Behavioral Scientist</w:t>
      </w:r>
      <w:r>
        <w:t xml:space="preserve">, 57(10), pp. 1510–1529.</w:t>
      </w:r>
    </w:p>
    <w:p>
      <w:pPr>
        <w:pStyle w:val="BodyText"/>
      </w:pPr>
      <w:r>
        <w:t xml:space="preserve">Sommerville, I. (2016)</w:t>
      </w:r>
      <w:r>
        <w:t xml:space="preserve"> </w:t>
      </w:r>
      <w:r>
        <w:rPr>
          <w:i/>
          <w:iCs/>
        </w:rPr>
        <w:t xml:space="preserve">Software Engineering</w:t>
      </w:r>
      <w:r>
        <w:t xml:space="preserve">. 10th edn. Harlow: Pearson Education.</w:t>
      </w:r>
    </w:p>
    <w:p>
      <w:pPr>
        <w:pStyle w:val="BodyText"/>
      </w:pPr>
      <w:r>
        <w:t xml:space="preserve">Teorey, T.J., Lightstone, S., Nadeau, T. and Jagadish, H.V. (2011)</w:t>
      </w:r>
      <w:r>
        <w:t xml:space="preserve"> </w:t>
      </w:r>
      <w:r>
        <w:rPr>
          <w:i/>
          <w:iCs/>
        </w:rPr>
        <w:t xml:space="preserve">Database Modeling and Design: Logical Design</w:t>
      </w:r>
      <w:r>
        <w:t xml:space="preserve">. 5th edn. Burlington, MA: Morgan Kaufmann.</w:t>
      </w:r>
    </w:p>
    <w:p>
      <w:pPr>
        <w:pStyle w:val="BodyText"/>
      </w:pPr>
      <w:r>
        <w:t xml:space="preserve">Wiegers, K. and Beatty, J. (2013)</w:t>
      </w:r>
      <w:r>
        <w:t xml:space="preserve"> </w:t>
      </w:r>
      <w:r>
        <w:rPr>
          <w:i/>
          <w:iCs/>
        </w:rPr>
        <w:t xml:space="preserve">Software Requirements</w:t>
      </w:r>
      <w:r>
        <w:t xml:space="preserve">. 3rd edn. Redmond, WA: Microsoft Press.</w:t>
      </w:r>
    </w:p>
    <w:bookmarkEnd w:id="172"/>
    <w:bookmarkStart w:id="186" w:name="appendices"/>
    <w:p>
      <w:pPr>
        <w:pStyle w:val="Heading1"/>
        <w:pageBreakBefore/>
      </w:pPr>
      <w:r>
        <w:t xml:space="preserve">Appendices</w:t>
      </w:r>
    </w:p>
    <w:p>
      <w:pPr>
        <w:pStyle w:val="BlockText"/>
      </w:pPr>
      <w:r>
        <w:t xml:space="preserve">Appendices contain supporting material too detailed for the main body. Each appendix starts on a new</w:t>
      </w:r>
      <w:r>
        <w:t xml:space="preserve"> </w:t>
      </w:r>
      <w:r>
        <w:t xml:space="preserve">page (page breaks applied at assembly in Phase 13), is lettered and titled, and is referenced from the</w:t>
      </w:r>
      <w:r>
        <w:t xml:space="preserve"> </w:t>
      </w:r>
      <w:r>
        <w:t xml:space="preserve">main text (e.g. </w:t>
      </w:r>
      <w:r>
        <w:t xml:space="preserve">“see Appendix C”</w:t>
      </w:r>
      <w:r>
        <w:t xml:space="preserve">). Cross-reference sentences for Appendices J and K are inserted at</w:t>
      </w:r>
      <w:r>
        <w:t xml:space="preserve"> </w:t>
      </w:r>
      <w:r>
        <w:t xml:space="preserve">§3.9, §5.3, §5.4, §5.5 and §6.2 in Phase 11.</w:t>
      </w:r>
    </w:p>
    <w:p>
      <w:r>
        <w:pict>
          <v:rect style="width:0;height:1.5pt" o:hralign="center" o:hrstd="t" o:hr="t"/>
        </w:pict>
      </w:r>
    </w:p>
    <w:bookmarkStart w:id="173" w:name="X6200141b0d42b4d926efae1374c9ef5a7b0c848"/>
    <w:p>
      <w:pPr>
        <w:pStyle w:val="Heading2"/>
        <w:pageBreakBefore/>
      </w:pPr>
      <w:r>
        <w:t xml:space="preserve">Appendix A — Project Proposal (approved version)</w:t>
      </w:r>
    </w:p>
    <w:p>
      <w:pPr>
        <w:pStyle w:val="FirstParagraph"/>
      </w:pPr>
      <w:r>
        <w:rPr>
          <w:i/>
          <w:iCs/>
        </w:rPr>
        <w:t xml:space="preserve">Referenced from §1.3 and §1.4.</w:t>
      </w:r>
    </w:p>
    <w:p>
      <w:pPr>
        <w:pStyle w:val="BodyText"/>
      </w:pPr>
      <w:r>
        <w:rPr>
          <w:b/>
          <w:bCs/>
        </w:rPr>
        <w:t xml:space="preserve">Project title.</w:t>
      </w:r>
      <w:r>
        <w:t xml:space="preserve"> </w:t>
      </w:r>
      <w:r>
        <w:t xml:space="preserve">EduMetric — A Web-Based Multi-Dimensional Student Performance Analytics System:</w:t>
      </w:r>
      <w:r>
        <w:t xml:space="preserve"> </w:t>
      </w:r>
      <w:r>
        <w:t xml:space="preserve">Design, Development and Evaluation of a Transparent Composite-Score Platform for Educational</w:t>
      </w:r>
      <w:r>
        <w:t xml:space="preserve"> </w:t>
      </w:r>
      <w:r>
        <w:t xml:space="preserve">Institutions.</w:t>
      </w:r>
    </w:p>
    <w:p>
      <w:pPr>
        <w:pStyle w:val="BodyText"/>
      </w:pPr>
      <w:r>
        <w:rPr>
          <w:b/>
          <w:bCs/>
        </w:rPr>
        <w:t xml:space="preserve">Topic and problem.</w:t>
      </w:r>
      <w:r>
        <w:t xml:space="preserve"> </w:t>
      </w:r>
      <w:r>
        <w:t xml:space="preserve">Educational institutions increasingly digitalise assessment, yet most of the</w:t>
      </w:r>
      <w:r>
        <w:t xml:space="preserve"> </w:t>
      </w:r>
      <w:r>
        <w:t xml:space="preserve">systems they deploy remain records of account: they store grades, compute a single grade-point average</w:t>
      </w:r>
      <w:r>
        <w:t xml:space="preserve"> </w:t>
      </w:r>
      <w:r>
        <w:t xml:space="preserve">(GPA) and report it back. They capture what a student scored but say little about how that student is</w:t>
      </w:r>
      <w:r>
        <w:t xml:space="preserve"> </w:t>
      </w:r>
      <w:r>
        <w:t xml:space="preserve">developing — whether attendance is slipping, whether practical performance is diverging from theory</w:t>
      </w:r>
      <w:r>
        <w:t xml:space="preserve"> </w:t>
      </w:r>
      <w:r>
        <w:t xml:space="preserve">marks, or whether an apparently average learner is on a declining trajectory. Where institutions do</w:t>
      </w:r>
      <w:r>
        <w:t xml:space="preserve"> </w:t>
      </w:r>
      <w:r>
        <w:t xml:space="preserve">adopt analytics, the scoring is often a black box that undermines trust, and sensitive academic records</w:t>
      </w:r>
      <w:r>
        <w:t xml:space="preserve"> </w:t>
      </w:r>
      <w:r>
        <w:t xml:space="preserve">are frequently accessible beyond the staff who need them. The proposed project addresses this gap by</w:t>
      </w:r>
      <w:r>
        <w:t xml:space="preserve"> </w:t>
      </w:r>
      <w:r>
        <w:t xml:space="preserve">designing, building and evaluating a transparent, multi-dimensional analytics system in which the</w:t>
      </w:r>
      <w:r>
        <w:t xml:space="preserve"> </w:t>
      </w:r>
      <w:r>
        <w:t xml:space="preserve">scoring is configurable and auditable rather than opaque (Slade and Prinsloo, 2013).</w:t>
      </w:r>
    </w:p>
    <w:p>
      <w:pPr>
        <w:pStyle w:val="BodyText"/>
      </w:pPr>
      <w:r>
        <w:rPr>
          <w:b/>
          <w:bCs/>
        </w:rPr>
        <w:t xml:space="preserve">Aim.</w:t>
      </w:r>
      <w:r>
        <w:t xml:space="preserve"> </w:t>
      </w:r>
      <w:r>
        <w:t xml:space="preserve">&gt; To design, develop and evaluate a web-based, multi-dimensional student performance analytics system</w:t>
      </w:r>
      <w:r>
        <w:t xml:space="preserve"> </w:t>
      </w:r>
      <w:r>
        <w:t xml:space="preserve">&gt; that improves the transparency, accuracy and accessibility of student evaluation, attendance</w:t>
      </w:r>
      <w:r>
        <w:t xml:space="preserve"> </w:t>
      </w:r>
      <w:r>
        <w:t xml:space="preserve">&gt; management and early at-risk identification in educational institutions.</w:t>
      </w:r>
    </w:p>
    <w:p>
      <w:pPr>
        <w:pStyle w:val="BodyText"/>
      </w:pPr>
      <w:r>
        <w:rPr>
          <w:b/>
          <w:bCs/>
        </w:rPr>
        <w:t xml:space="preserve">Objectives.</w:t>
      </w:r>
      <w:r>
        <w:t xml:space="preserve"> </w:t>
      </w:r>
      <w:r>
        <w:t xml:space="preserve">(1)</w:t>
      </w:r>
      <w:r>
        <w:t xml:space="preserve"> </w:t>
      </w:r>
      <w:r>
        <w:rPr>
          <w:b/>
          <w:bCs/>
        </w:rPr>
        <w:t xml:space="preserve">Review</w:t>
      </w:r>
      <w:r>
        <w:t xml:space="preserve"> </w:t>
      </w:r>
      <w:r>
        <w:t xml:space="preserve">the literature on learning analytics, educational information systems,</w:t>
      </w:r>
      <w:r>
        <w:t xml:space="preserve"> </w:t>
      </w:r>
      <w:r>
        <w:t xml:space="preserve">multi-dimensional assessment, web-application architecture and data security, synthesising at least 25</w:t>
      </w:r>
      <w:r>
        <w:t xml:space="preserve"> </w:t>
      </w:r>
      <w:r>
        <w:t xml:space="preserve">quality sources, to establish the theoretical foundation. (2)</w:t>
      </w:r>
      <w:r>
        <w:t xml:space="preserve"> </w:t>
      </w:r>
      <w:r>
        <w:rPr>
          <w:b/>
          <w:bCs/>
        </w:rPr>
        <w:t xml:space="preserve">Analyse and specify</w:t>
      </w:r>
      <w:r>
        <w:t xml:space="preserve"> </w:t>
      </w:r>
      <w:r>
        <w:t xml:space="preserve">the functional and</w:t>
      </w:r>
      <w:r>
        <w:t xml:space="preserve"> </w:t>
      </w:r>
      <w:r>
        <w:t xml:space="preserve">non-functional requirements of a transparent multi-dimensional student-evaluation system. (3)</w:t>
      </w:r>
      <w:r>
        <w:t xml:space="preserve"> </w:t>
      </w:r>
      <w:r>
        <w:rPr>
          <w:b/>
          <w:bCs/>
        </w:rPr>
        <w:t xml:space="preserve">Design</w:t>
      </w:r>
      <w:r>
        <w:t xml:space="preserve"> </w:t>
      </w:r>
      <w:r>
        <w:t xml:space="preserve">the system architecture (a three-tier modular monolith), the PostgreSQL data model (ERD), the six core</w:t>
      </w:r>
      <w:r>
        <w:t xml:space="preserve"> </w:t>
      </w:r>
      <w:r>
        <w:t xml:space="preserve">process models and the role-secured REST API. (4)</w:t>
      </w:r>
      <w:r>
        <w:t xml:space="preserve"> </w:t>
      </w:r>
      <w:r>
        <w:rPr>
          <w:b/>
          <w:bCs/>
        </w:rPr>
        <w:t xml:space="preserve">Develop</w:t>
      </w:r>
      <w:r>
        <w:t xml:space="preserve"> </w:t>
      </w:r>
      <w:r>
        <w:t xml:space="preserve">a full-stack web prototype implementing the</w:t>
      </w:r>
      <w:r>
        <w:t xml:space="preserve"> </w:t>
      </w:r>
      <w:r>
        <w:t xml:space="preserve">core modules — authentication, attendance, evaluation (the metrics engine), student analytics, at-risk</w:t>
      </w:r>
      <w:r>
        <w:t xml:space="preserve"> </w:t>
      </w:r>
      <w:r>
        <w:t xml:space="preserve">detection and admin monitoring. (5)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the system through functional and user-acceptance</w:t>
      </w:r>
      <w:r>
        <w:t xml:space="preserve"> </w:t>
      </w:r>
      <w:r>
        <w:t xml:space="preserve">testing and a structured effectiveness assessment, producing evidence-based recommendations.</w:t>
      </w:r>
    </w:p>
    <w:p>
      <w:pPr>
        <w:pStyle w:val="BodyText"/>
      </w:pPr>
      <w:r>
        <w:rPr>
          <w:b/>
          <w:bCs/>
        </w:rPr>
        <w:t xml:space="preserve">Research questions.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RQ1</w:t>
      </w:r>
      <w:r>
        <w:t xml:space="preserve"> </w:t>
      </w:r>
      <w:r>
        <w:t xml:space="preserve">— What limitations in current student-evaluation and management processes can a web-based</w:t>
      </w:r>
      <w:r>
        <w:t xml:space="preserve"> </w:t>
      </w:r>
      <w:r>
        <w:t xml:space="preserve">information system address?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RQ2</w:t>
      </w:r>
      <w:r>
        <w:t xml:space="preserve"> </w:t>
      </w:r>
      <w:r>
        <w:t xml:space="preserve">— What functional modules and data model are required for a transparent, multi-dimensional</w:t>
      </w:r>
      <w:r>
        <w:t xml:space="preserve"> </w:t>
      </w:r>
      <w:r>
        <w:t xml:space="preserve">student performance analytics system?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RQ3</w:t>
      </w:r>
      <w:r>
        <w:t xml:space="preserve"> </w:t>
      </w:r>
      <w:r>
        <w:t xml:space="preserve">— How can a web-based system improve the transparency, accuracy and accessibility of student</w:t>
      </w:r>
      <w:r>
        <w:t xml:space="preserve"> </w:t>
      </w:r>
      <w:r>
        <w:t xml:space="preserve">evaluation, attendance management and at-risk detection?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RQ4</w:t>
      </w:r>
      <w:r>
        <w:t xml:space="preserve"> </w:t>
      </w:r>
      <w:r>
        <w:t xml:space="preserve">— How should security, privacy and role-based access control be implemented to protect</w:t>
      </w:r>
      <w:r>
        <w:t xml:space="preserve"> </w:t>
      </w:r>
      <w:r>
        <w:t xml:space="preserve">sensitive student data?</w:t>
      </w:r>
    </w:p>
    <w:p>
      <w:pPr>
        <w:pStyle w:val="BodyText"/>
      </w:pPr>
      <w:r>
        <w:rPr>
          <w:b/>
          <w:bCs/>
        </w:rPr>
        <w:t xml:space="preserve">Expected outcomes.</w:t>
      </w:r>
      <w:r>
        <w:t xml:space="preserve"> </w:t>
      </w:r>
      <w:r>
        <w:t xml:space="preserve">A specified set of functional and non-functional requirements; a three-tier</w:t>
      </w:r>
      <w:r>
        <w:t xml:space="preserve"> </w:t>
      </w:r>
      <w:r>
        <w:t xml:space="preserve">modular-monolith architecture with a PostgreSQL ERD, six core process models and a role-secured REST</w:t>
      </w:r>
      <w:r>
        <w:t xml:space="preserve"> </w:t>
      </w:r>
      <w:r>
        <w:t xml:space="preserve">API; a working full-stack prototype implementing the core modules; six per-process requirement-to-test</w:t>
      </w:r>
      <w:r>
        <w:t xml:space="preserve"> </w:t>
      </w:r>
      <w:r>
        <w:t xml:space="preserve">traceability matrices and a process-to-module mapping; and an evidenced functional/UAT evaluation with</w:t>
      </w:r>
      <w:r>
        <w:t xml:space="preserve"> </w:t>
      </w:r>
      <w:r>
        <w:t xml:space="preserve">recommendations for practitioners and researchers.</w:t>
      </w:r>
    </w:p>
    <w:p>
      <w:pPr>
        <w:pStyle w:val="BodyText"/>
      </w:pPr>
      <w:r>
        <w:rPr>
          <w:b/>
          <w:bCs/>
        </w:rPr>
        <w:t xml:space="preserve">System overview.</w:t>
      </w:r>
      <w:r>
        <w:t xml:space="preserve"> </w:t>
      </w:r>
      <w:r>
        <w:t xml:space="preserve">EduMetric is a</w:t>
      </w:r>
      <w:r>
        <w:t xml:space="preserve"> </w:t>
      </w:r>
      <w:r>
        <w:rPr>
          <w:b/>
          <w:bCs/>
        </w:rPr>
        <w:t xml:space="preserve">modular monolith</w:t>
      </w:r>
      <w:r>
        <w:t xml:space="preserve"> </w:t>
      </w:r>
      <w:r>
        <w:t xml:space="preserve">that replaces</w:t>
      </w:r>
      <w:r>
        <w:t xml:space="preserve"> </w:t>
      </w:r>
      <w:r>
        <w:t xml:space="preserve">“GPA as a single number”</w:t>
      </w:r>
      <w:r>
        <w:t xml:space="preserve"> </w:t>
      </w:r>
      <w:r>
        <w:t xml:space="preserve">with a</w:t>
      </w:r>
      <w:r>
        <w:t xml:space="preserve"> </w:t>
      </w:r>
      <w:r>
        <w:t xml:space="preserve">transparent</w:t>
      </w:r>
      <w:r>
        <w:t xml:space="preserve"> </w:t>
      </w:r>
      <w:r>
        <w:rPr>
          <w:b/>
          <w:bCs/>
        </w:rPr>
        <w:t xml:space="preserve">composite score</w:t>
      </w:r>
      <w:r>
        <w:t xml:space="preserve"> </w:t>
      </w:r>
      <w:r>
        <w:t xml:space="preserve">computed across weighted dimensions — grades, attendance, practical,</w:t>
      </w:r>
      <w:r>
        <w:t xml:space="preserve"> </w:t>
      </w:r>
      <w:r>
        <w:t xml:space="preserve">behaviour and activity, plus growth and consistency bonuses — and surfaces a</w:t>
      </w:r>
      <w:r>
        <w:t xml:space="preserve"> </w:t>
      </w:r>
      <w:r>
        <w:rPr>
          <w:b/>
          <w:bCs/>
        </w:rPr>
        <w:t xml:space="preserve">growth trend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at-risk detection</w:t>
      </w:r>
      <w:r>
        <w:t xml:space="preserve"> </w:t>
      </w:r>
      <w:r>
        <w:t xml:space="preserve">signal per learner. It is built as a three-tier application: a</w:t>
      </w:r>
      <w:r>
        <w:t xml:space="preserve"> </w:t>
      </w:r>
      <w:r>
        <w:rPr>
          <w:b/>
          <w:bCs/>
        </w:rPr>
        <w:t xml:space="preserve">Next.js</w:t>
      </w:r>
      <w:r>
        <w:t xml:space="preserve"> </w:t>
      </w:r>
      <w:r>
        <w:t xml:space="preserve">/</w:t>
      </w:r>
      <w:r>
        <w:t xml:space="preserve"> </w:t>
      </w:r>
      <w:r>
        <w:t xml:space="preserve">React single-page frontend, a</w:t>
      </w:r>
      <w:r>
        <w:t xml:space="preserve"> </w:t>
      </w:r>
      <w:r>
        <w:rPr>
          <w:b/>
          <w:bCs/>
        </w:rPr>
        <w:t xml:space="preserve">Spring Boot</w:t>
      </w:r>
      <w:r>
        <w:t xml:space="preserve"> </w:t>
      </w:r>
      <w:r>
        <w:t xml:space="preserve">REST backend, and a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relational database,</w:t>
      </w:r>
      <w:r>
        <w:t xml:space="preserve"> </w:t>
      </w:r>
      <w:r>
        <w:t xml:space="preserve">deployed on a single server.</w:t>
      </w:r>
    </w:p>
    <w:p>
      <w:pPr>
        <w:pStyle w:val="BodyText"/>
      </w:pPr>
      <w:r>
        <w:rPr>
          <w:b/>
          <w:bCs/>
        </w:rPr>
        <w:t xml:space="preserve">Users.</w:t>
      </w:r>
      <w:r>
        <w:t xml:space="preserve"> </w:t>
      </w:r>
      <w:r>
        <w:t xml:space="preserve">Three core roles —</w:t>
      </w:r>
      <w:r>
        <w:t xml:space="preserve"> </w:t>
      </w:r>
      <w:r>
        <w:rPr>
          <w:b/>
          <w:bCs/>
        </w:rPr>
        <w:t xml:space="preserve">Student</w:t>
      </w:r>
      <w:r>
        <w:t xml:space="preserve">,</w:t>
      </w:r>
      <w:r>
        <w:t xml:space="preserve"> </w:t>
      </w:r>
      <w:r>
        <w:rPr>
          <w:b/>
          <w:bCs/>
        </w:rPr>
        <w:t xml:space="preserve">Teacher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(a Parent role exists in the code</w:t>
      </w:r>
      <w:r>
        <w:t xml:space="preserve"> </w:t>
      </w:r>
      <w:r>
        <w:t xml:space="preserve">as a later extension and is treated only as a scope note, never as a fourth core role).</w:t>
      </w:r>
    </w:p>
    <w:p>
      <w:pPr>
        <w:pStyle w:val="BodyText"/>
      </w:pPr>
      <w:r>
        <w:rPr>
          <w:b/>
          <w:bCs/>
        </w:rPr>
        <w:t xml:space="preserve">Technologies.</w:t>
      </w:r>
      <w:r>
        <w:t xml:space="preserve"> </w:t>
      </w:r>
      <w:r>
        <w:t xml:space="preserve">Next.js / React / TypeScript / Tailwind (frontend); Java / Spring Boot / Spring</w:t>
      </w:r>
      <w:r>
        <w:t xml:space="preserve"> </w:t>
      </w:r>
      <w:r>
        <w:t xml:space="preserve">Security + JWT (backend); PostgreSQL with Liquibase migrations; Redis (analytics read-through cache</w:t>
      </w:r>
      <w:r>
        <w:t xml:space="preserve"> </w:t>
      </w:r>
      <w:r>
        <w:t xml:space="preserve">only); MinIO (file storage for homework and materials).</w:t>
      </w:r>
    </w:p>
    <w:p>
      <w:pPr>
        <w:pStyle w:val="BodyText"/>
      </w:pPr>
      <w:r>
        <w:t xml:space="preserve">⟨STUDENT INPUT: attach the signed/approved proposal cover page (supervisor approval, date).⟩</w:t>
      </w:r>
    </w:p>
    <w:p>
      <w:r>
        <w:pict>
          <v:rect style="width:0;height:1.5pt" o:hralign="center" o:hrstd="t" o:hr="t"/>
        </w:pict>
      </w:r>
    </w:p>
    <w:bookmarkEnd w:id="173"/>
    <w:bookmarkStart w:id="176" w:name="appendix-b-full-gantt-chart"/>
    <w:p>
      <w:pPr>
        <w:pStyle w:val="Heading2"/>
        <w:pageBreakBefore/>
      </w:pPr>
      <w:r>
        <w:t xml:space="preserve">Appendix B — Full Gantt Chart</w:t>
      </w:r>
    </w:p>
    <w:p>
      <w:pPr>
        <w:pStyle w:val="FirstParagraph"/>
      </w:pPr>
      <w:r>
        <w:rPr>
          <w:i/>
          <w:iCs/>
        </w:rPr>
        <w:t xml:space="preserve">Referenced from §3.4.2.</w:t>
      </w:r>
    </w:p>
    <w:p>
      <w:pPr>
        <w:pStyle w:val="BodyText"/>
      </w:pPr>
      <w:r>
        <w:t xml:space="preserve">This appendix reproduces</w:t>
      </w:r>
      <w:r>
        <w:t xml:space="preserve"> </w:t>
      </w:r>
      <w:r>
        <w:rPr>
          <w:b/>
          <w:bCs/>
        </w:rPr>
        <w:t xml:space="preserve">Figure 3.2</w:t>
      </w:r>
      <w:r>
        <w:t xml:space="preserve"> </w:t>
      </w:r>
      <w:r>
        <w:t xml:space="preserve">at full resolution — the 24-week, six-phase schedule for the</w:t>
      </w:r>
      <w:r>
        <w:t xml:space="preserve"> </w:t>
      </w:r>
      <w:r>
        <w:t xml:space="preserve">design, development and evaluation of EduMetric, with milestones M0–M5. The phases are:</w:t>
      </w:r>
      <w:r>
        <w:t xml:space="preserve"> </w:t>
      </w:r>
      <w:r>
        <w:rPr>
          <w:b/>
          <w:bCs/>
        </w:rPr>
        <w:t xml:space="preserve">1 Research</w:t>
      </w:r>
      <w:r>
        <w:rPr>
          <w:b/>
          <w:bCs/>
        </w:rPr>
        <w:t xml:space="preserve"> </w:t>
      </w:r>
      <w:r>
        <w:rPr>
          <w:b/>
          <w:bCs/>
        </w:rPr>
        <w:t xml:space="preserve">Foundation</w:t>
      </w:r>
      <w:r>
        <w:t xml:space="preserve"> </w:t>
      </w:r>
      <w:r>
        <w:t xml:space="preserve">(W1–6),</w:t>
      </w:r>
      <w:r>
        <w:t xml:space="preserve"> </w:t>
      </w:r>
      <w:r>
        <w:rPr>
          <w:b/>
          <w:bCs/>
        </w:rPr>
        <w:t xml:space="preserve">2 Methodology &amp; Planning</w:t>
      </w:r>
      <w:r>
        <w:t xml:space="preserve"> </w:t>
      </w:r>
      <w:r>
        <w:t xml:space="preserve">(W4–6),</w:t>
      </w:r>
      <w:r>
        <w:t xml:space="preserve"> </w:t>
      </w:r>
      <w:r>
        <w:rPr>
          <w:b/>
          <w:bCs/>
        </w:rPr>
        <w:t xml:space="preserve">3 Process Modelling</w:t>
      </w:r>
      <w:r>
        <w:t xml:space="preserve"> </w:t>
      </w:r>
      <w:r>
        <w:t xml:space="preserve">(W7–10),</w:t>
      </w:r>
      <w:r>
        <w:t xml:space="preserve"> </w:t>
      </w:r>
      <w:r>
        <w:rPr>
          <w:b/>
          <w:bCs/>
        </w:rPr>
        <w:t xml:space="preserve">4</w:t>
      </w:r>
      <w:r>
        <w:rPr>
          <w:b/>
          <w:bCs/>
        </w:rPr>
        <w:t xml:space="preserve"> </w:t>
      </w:r>
      <w:r>
        <w:rPr>
          <w:b/>
          <w:bCs/>
        </w:rPr>
        <w:t xml:space="preserve">Architecture &amp; Design</w:t>
      </w:r>
      <w:r>
        <w:t xml:space="preserve"> </w:t>
      </w:r>
      <w:r>
        <w:t xml:space="preserve">(W10–14),</w:t>
      </w:r>
      <w:r>
        <w:t xml:space="preserve"> </w:t>
      </w:r>
      <w:r>
        <w:rPr>
          <w:b/>
          <w:bCs/>
        </w:rPr>
        <w:t xml:space="preserve">5 Analysis &amp; Writing</w:t>
      </w:r>
      <w:r>
        <w:t xml:space="preserve"> </w:t>
      </w:r>
      <w:r>
        <w:t xml:space="preserve">(W14–21) and</w:t>
      </w:r>
      <w:r>
        <w:t xml:space="preserve"> </w:t>
      </w:r>
      <w:r>
        <w:rPr>
          <w:b/>
          <w:bCs/>
        </w:rPr>
        <w:t xml:space="preserve">6 Review &amp; Submission</w:t>
      </w:r>
      <w:r>
        <w:t xml:space="preserve"> </w:t>
      </w:r>
      <w:r>
        <w:t xml:space="preserve">(W21–24). The full Mermaid source from §3.4.2 is reproduced below; export the rendered diagram to</w:t>
      </w:r>
      <w:r>
        <w:t xml:space="preserve"> </w:t>
      </w:r>
      <w:r>
        <w:rPr>
          <w:rStyle w:val="VerbatimChar"/>
        </w:rPr>
        <w:t xml:space="preserve">_assets/appendix-B-gantt.png</w:t>
      </w:r>
      <w:r>
        <w:t xml:space="preserve"> </w:t>
      </w:r>
      <w:r>
        <w:t xml:space="preserve">at full width.</w:t>
      </w:r>
    </w:p>
    <w:p>
      <w:pPr>
        <w:pStyle w:val="BodyText"/>
        <w:jc w:val="center"/>
      </w:pPr>
      <w:r>
        <w:drawing>
          <wp:inline>
            <wp:extent cx="5334000" cy="3322291"/>
            <wp:effectExtent b="0" l="0" r="0" t="0"/>
            <wp:docPr descr="" title="" id="174" name="Picture"/>
            <a:graphic>
              <a:graphicData uri="http://schemas.openxmlformats.org/drawingml/2006/picture">
                <pic:pic>
                  <pic:nvPicPr>
                    <pic:cNvPr descr="_assets/figure-3-2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2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B.1 — Full-resolution project Gantt chart (24 weeks, six phases).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author’s project</w:t>
      </w:r>
      <w:r>
        <w:rPr>
          <w:i/>
          <w:iCs/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workbook.)</w:t>
      </w:r>
    </w:p>
    <w:p>
      <w:pPr>
        <w:pStyle w:val="BodyText"/>
      </w:pPr>
      <w:r>
        <w:t xml:space="preserve">⟨STUDENT INPUT: paste the full-resolution Gantt image exported from the project workbook.⟩</w:t>
      </w:r>
    </w:p>
    <w:p>
      <w:r>
        <w:pict>
          <v:rect style="width:0;height:1.5pt" o:hralign="center" o:hrstd="t" o:hr="t"/>
        </w:pict>
      </w:r>
    </w:p>
    <w:bookmarkEnd w:id="176"/>
    <w:bookmarkStart w:id="177" w:name="appendix-c-risk-register-full-version"/>
    <w:p>
      <w:pPr>
        <w:pStyle w:val="Heading2"/>
        <w:pageBreakBefore/>
      </w:pPr>
      <w:r>
        <w:t xml:space="preserve">Appendix C — Risk Register (full version)</w:t>
      </w:r>
    </w:p>
    <w:p>
      <w:pPr>
        <w:pStyle w:val="FirstParagraph"/>
      </w:pPr>
      <w:r>
        <w:rPr>
          <w:i/>
          <w:iCs/>
        </w:rPr>
        <w:t xml:space="preserve">Referenced from §3.6.</w:t>
      </w:r>
    </w:p>
    <w:p>
      <w:pPr>
        <w:pStyle w:val="BodyText"/>
      </w:pPr>
      <w:r>
        <w:rPr>
          <w:b/>
          <w:bCs/>
        </w:rPr>
        <w:t xml:space="preserve">Table C.1 — Full risk register (R01–R10), with mitigation, contingency and owner.</w:t>
      </w:r>
      <w:r>
        <w:t xml:space="preserve"> </w:t>
      </w:r>
      <w:r>
        <w:rPr>
          <w:i/>
          <w:iCs/>
        </w:rPr>
        <w:t xml:space="preserve">(Source: author’s project workbook.)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ID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Risk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Category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P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I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Score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Severity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Mitigation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Contingency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Owner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R01</w:t>
            </w:r>
          </w:p>
        </w:tc>
        <w:tc>
          <w:tcPr/>
          <w:p>
            <w:pPr>
              <w:pStyle w:val="Compact"/>
            </w:pPr>
            <w:r>
              <w:t xml:space="preserve">Limited literature directly comparable to a transparent, multi-dimensional composite-score model</w:t>
            </w:r>
          </w:p>
        </w:tc>
        <w:tc>
          <w:tcPr/>
          <w:p>
            <w:pPr>
              <w:pStyle w:val="Compact"/>
            </w:pPr>
            <w:r>
              <w:t xml:space="preserve">Academic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Broaden the search into learning-analytics, requirements, architecture and security literature</w:t>
            </w:r>
          </w:p>
        </w:tc>
        <w:tc>
          <w:tcPr/>
          <w:p>
            <w:pPr>
              <w:pStyle w:val="Compact"/>
            </w:pPr>
            <w:r>
              <w:t xml:space="preserve">Expand search to IEEE Xplore and the ACM Digital Library; argue the gap explicitly</w:t>
            </w:r>
          </w:p>
        </w:tc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R02</w:t>
            </w:r>
          </w:p>
        </w:tc>
        <w:tc>
          <w:tcPr/>
          <w:p>
            <w:pPr>
              <w:pStyle w:val="Compact"/>
            </w:pPr>
            <w:r>
              <w:t xml:space="preserve">Scope creep — the feature set expands beyond the core six modules / MVP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Locked aim, objectives, RQs and terminology fix the core six modules as the MVP boundary</w:t>
            </w:r>
          </w:p>
        </w:tc>
        <w:tc>
          <w:tcPr/>
          <w:p>
            <w:pPr>
              <w:pStyle w:val="Compact"/>
            </w:pPr>
            <w:r>
              <w:t xml:space="preserve">Defer non-core features to a future-work backlog; re-anchor to the locked scope</w:t>
            </w:r>
          </w:p>
        </w:tc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R03</w:t>
            </w:r>
          </w:p>
        </w:tc>
        <w:tc>
          <w:tcPr/>
          <w:p>
            <w:pPr>
              <w:pStyle w:val="Compact"/>
            </w:pPr>
            <w:r>
              <w:t xml:space="preserve">Divergence between the design artefacts (architecture, ERD, process models) and the implemented code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Maintained requirement→design→entity→endpoint→test traceability matrix; every activity mapped to shipped code</w:t>
            </w:r>
          </w:p>
        </w:tc>
        <w:tc>
          <w:tcPr/>
          <w:p>
            <w:pPr>
              <w:pStyle w:val="Compact"/>
            </w:pPr>
            <w:r>
              <w:t xml:space="preserve">Re-derive the affected artefacts from the implementation; record the drift</w:t>
            </w:r>
          </w:p>
        </w:tc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</w:t>
            </w:r>
          </w:p>
        </w:tc>
        <w:tc>
          <w:tcPr/>
          <w:p>
            <w:pPr>
              <w:pStyle w:val="Compact"/>
            </w:pPr>
            <w:r>
              <w:t xml:space="preserve">Schedule delay from running academic writing and software development in parallel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Milestone Gantt with buffer weeks; weekly progress review</w:t>
            </w:r>
          </w:p>
        </w:tc>
        <w:tc>
          <w:tcPr/>
          <w:p>
            <w:pPr>
              <w:pStyle w:val="Compact"/>
            </w:pPr>
            <w:r>
              <w:t xml:space="preserve">Deprioritise low-impact appendices; protect Chapters 4–5</w:t>
            </w:r>
          </w:p>
        </w:tc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R05</w:t>
            </w:r>
          </w:p>
        </w:tc>
        <w:tc>
          <w:tcPr/>
          <w:p>
            <w:pPr>
              <w:pStyle w:val="Compact"/>
            </w:pPr>
            <w:r>
              <w:t xml:space="preserve">The composite-score formula behaves incorrectly on edge cases / small samples, eroding trust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Pure, Spring-free</w:t>
            </w:r>
            <w:r>
              <w:t xml:space="preserve"> </w:t>
            </w:r>
            <w:r>
              <w:rPr>
                <w:rStyle w:val="VerbatimChar"/>
              </w:rPr>
              <w:t xml:space="preserve">MetricsEngine</w:t>
            </w:r>
            <w:r>
              <w:t xml:space="preserve"> </w:t>
            </w:r>
            <w:r>
              <w:t xml:space="preserve">with 100% unit-test coverage on edge cases</w:t>
            </w:r>
          </w:p>
        </w:tc>
        <w:tc>
          <w:tcPr/>
          <w:p>
            <w:pPr>
              <w:pStyle w:val="Compact"/>
            </w:pPr>
            <w:r>
              <w:t xml:space="preserve">Add boundary and small-sample test cases; document confidence handling</w:t>
            </w:r>
          </w:p>
        </w:tc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R06</w:t>
            </w:r>
          </w:p>
        </w:tc>
        <w:tc>
          <w:tcPr/>
          <w:p>
            <w:pPr>
              <w:pStyle w:val="Compact"/>
            </w:pPr>
            <w:r>
              <w:t xml:space="preserve">EduMetric implementation incomplete at submission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Build the core six modules first; treat extensions as scope notes</w:t>
            </w:r>
          </w:p>
        </w:tc>
        <w:tc>
          <w:tcPr/>
          <w:p>
            <w:pPr>
              <w:pStyle w:val="Compact"/>
            </w:pPr>
            <w:r>
              <w:t xml:space="preserve">Document the completed scope clearly; defer extensions</w:t>
            </w:r>
          </w:p>
        </w:tc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R07</w:t>
            </w:r>
          </w:p>
        </w:tc>
        <w:tc>
          <w:tcPr/>
          <w:p>
            <w:pPr>
              <w:pStyle w:val="Compact"/>
            </w:pPr>
            <w:r>
              <w:t xml:space="preserve">Traceability links break when the architecture or database schema changes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Version-controlled matrix; Liquibase-owned schema; propagate changes in one pass</w:t>
            </w:r>
          </w:p>
        </w:tc>
        <w:tc>
          <w:tcPr/>
          <w:p>
            <w:pPr>
              <w:pStyle w:val="Compact"/>
            </w:pPr>
            <w:r>
              <w:t xml:space="preserve">Flag affected chapters; re-verify against shipped code</w:t>
            </w:r>
          </w:p>
        </w:tc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R08</w:t>
            </w:r>
          </w:p>
        </w:tc>
        <w:tc>
          <w:tcPr/>
          <w:p>
            <w:pPr>
              <w:pStyle w:val="Compact"/>
            </w:pPr>
            <w:r>
              <w:t xml:space="preserve">Academic sources unavailable through the university library</w:t>
            </w:r>
          </w:p>
        </w:tc>
        <w:tc>
          <w:tcPr/>
          <w:p>
            <w:pPr>
              <w:pStyle w:val="Compact"/>
            </w:pPr>
            <w:r>
              <w:t xml:space="preserve">Academic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Use Google Scholar, ResearchGate and pre-prints; cite DOIs</w:t>
            </w:r>
          </w:p>
        </w:tc>
        <w:tc>
          <w:tcPr/>
          <w:p>
            <w:pPr>
              <w:pStyle w:val="Compact"/>
            </w:pPr>
            <w:r>
              <w:t xml:space="preserve">Substitute the closest available edition or equivalent source</w:t>
            </w:r>
          </w:p>
        </w:tc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R09</w:t>
            </w:r>
          </w:p>
        </w:tc>
        <w:tc>
          <w:tcPr/>
          <w:p>
            <w:pPr>
              <w:pStyle w:val="Compact"/>
            </w:pPr>
            <w:r>
              <w:t xml:space="preserve">Reflective chapter lacks genuine critical depth (Ch 7)</w:t>
            </w:r>
          </w:p>
        </w:tc>
        <w:tc>
          <w:tcPr/>
          <w:p>
            <w:pPr>
              <w:pStyle w:val="Compact"/>
            </w:pPr>
            <w:r>
              <w:t xml:space="preserve">Academic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Structure reflection through Gibbs’ cycle with concrete project examples</w:t>
            </w:r>
          </w:p>
        </w:tc>
        <w:tc>
          <w:tcPr/>
          <w:p>
            <w:pPr>
              <w:pStyle w:val="Compact"/>
            </w:pPr>
            <w:r>
              <w:t xml:space="preserve">Add examples from the design and implementation phases</w:t>
            </w:r>
          </w:p>
        </w:tc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Artefact inconsistency across chapters (module names, endpoint paths, terminology)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Locked terminology; consistent module/endpoint names enforced throughout</w:t>
            </w:r>
          </w:p>
        </w:tc>
        <w:tc>
          <w:tcPr/>
          <w:p>
            <w:pPr>
              <w:pStyle w:val="Compact"/>
            </w:pPr>
            <w:r>
              <w:t xml:space="preserve">Single full terminology and path review before submission</w:t>
            </w:r>
          </w:p>
        </w:tc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7"/>
    <w:bookmarkStart w:id="178" w:name="X2e9765bf942317681ee30dcf359fd4b6dd5f4e5"/>
    <w:p>
      <w:pPr>
        <w:pStyle w:val="Heading2"/>
        <w:pageBreakBefore/>
      </w:pPr>
      <w:r>
        <w:t xml:space="preserve">Appendix D — Ethics Approval and Consent Forms</w:t>
      </w:r>
    </w:p>
    <w:p>
      <w:pPr>
        <w:pStyle w:val="FirstParagraph"/>
      </w:pPr>
      <w:r>
        <w:rPr>
          <w:i/>
          <w:iCs/>
        </w:rPr>
        <w:t xml:space="preserve">Referenced from §3.7.</w:t>
      </w:r>
    </w:p>
    <w:p>
      <w:pPr>
        <w:pStyle w:val="BodyText"/>
      </w:pPr>
      <w:r>
        <w:t xml:space="preserve">This project is</w:t>
      </w:r>
      <w:r>
        <w:t xml:space="preserve"> </w:t>
      </w:r>
      <w:r>
        <w:rPr>
          <w:b/>
          <w:bCs/>
        </w:rPr>
        <w:t xml:space="preserve">low-risk</w:t>
      </w:r>
      <w:r>
        <w:t xml:space="preserve">: it collects</w:t>
      </w:r>
      <w:r>
        <w:t xml:space="preserve"> </w:t>
      </w:r>
      <w:r>
        <w:rPr>
          <w:b/>
          <w:bCs/>
        </w:rPr>
        <w:t xml:space="preserve">no data from human participants</w:t>
      </w:r>
      <w:r>
        <w:t xml:space="preserve">. Its evidence base is the</w:t>
      </w:r>
      <w:r>
        <w:t xml:space="preserve"> </w:t>
      </w:r>
      <w:r>
        <w:t xml:space="preserve">software artefacts (the architecture, schema, process models, REST API and tests) and the system’s own</w:t>
      </w:r>
      <w:r>
        <w:t xml:space="preserve"> </w:t>
      </w:r>
      <w:r>
        <w:rPr>
          <w:b/>
          <w:bCs/>
        </w:rPr>
        <w:t xml:space="preserve">synthetic / anonymised</w:t>
      </w:r>
      <w:r>
        <w:t xml:space="preserve"> </w:t>
      </w:r>
      <w:r>
        <w:t xml:space="preserve">academic records. Where EduMetric would, in production, hold personal data</w:t>
      </w:r>
      <w:r>
        <w:t xml:space="preserve"> </w:t>
      </w:r>
      <w:r>
        <w:t xml:space="preserve">(names, emails, academic results), the design applies the following safeguards, described here as</w:t>
      </w:r>
      <w:r>
        <w:t xml:space="preserve"> </w:t>
      </w:r>
      <w:r>
        <w:t xml:space="preserve">design properties rather than live data-collection activities and aligned with the General Data</w:t>
      </w:r>
      <w:r>
        <w:t xml:space="preserve"> </w:t>
      </w:r>
      <w:r>
        <w:t xml:space="preserve">Protection Regulation (European Parliament and Council, 2016):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Purpose limitation</w:t>
      </w:r>
      <w:r>
        <w:t xml:space="preserve"> </w:t>
      </w:r>
      <w:r>
        <w:t xml:space="preserve">— academic data are processed only to compute the transparent composite score</w:t>
      </w:r>
      <w:r>
        <w:t xml:space="preserve"> </w:t>
      </w:r>
      <w:r>
        <w:t xml:space="preserve">and growth analytics described in the system specification.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Data minimisation and anonymisation</w:t>
      </w:r>
      <w:r>
        <w:t xml:space="preserve"> </w:t>
      </w:r>
      <w:r>
        <w:t xml:space="preserve">— illustrative extracts (Appendix F) contain no names, emails</w:t>
      </w:r>
      <w:r>
        <w:t xml:space="preserve"> </w:t>
      </w:r>
      <w:r>
        <w:t xml:space="preserve">or identifiers; learners are represented by opaque codes.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Lawful, fair and transparent processing</w:t>
      </w:r>
      <w:r>
        <w:t xml:space="preserve"> </w:t>
      </w:r>
      <w:r>
        <w:t xml:space="preserve">— role-based access control (</w:t>
      </w:r>
      <w:r>
        <w:rPr>
          <w:rStyle w:val="VerbatimChar"/>
        </w:rPr>
        <w:t xml:space="preserve">ADMIN &gt; TEACHER &gt; STUDENT</w:t>
      </w:r>
      <w:r>
        <w:t xml:space="preserve">)</w:t>
      </w:r>
      <w:r>
        <w:t xml:space="preserve"> </w:t>
      </w:r>
      <w:r>
        <w:t xml:space="preserve">restricts data to authorised roles, and all high-value mutations are written to an audit log.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Right to erasure</w:t>
      </w:r>
      <w:r>
        <w:t xml:space="preserve"> </w:t>
      </w:r>
      <w:r>
        <w:t xml:space="preserve">— in a production deployment, a data subject may request erasure of personal</w:t>
      </w:r>
      <w:r>
        <w:t xml:space="preserve"> </w:t>
      </w:r>
      <w:r>
        <w:t xml:space="preserve">data, subject to legitimate record-keeping obligations.</w:t>
      </w:r>
    </w:p>
    <w:p>
      <w:pPr>
        <w:pStyle w:val="FirstParagraph"/>
      </w:pPr>
      <w:r>
        <w:t xml:space="preserve">Because there are no human participants, no survey, interview or observation data are collected and no</w:t>
      </w:r>
      <w:r>
        <w:t xml:space="preserve"> </w:t>
      </w:r>
      <w:r>
        <w:t xml:space="preserve">participant consent is required for the study itself. The consent-form template below is retained only</w:t>
      </w:r>
      <w:r>
        <w:t xml:space="preserve"> </w:t>
      </w:r>
      <w:r>
        <w:t xml:space="preserve">for any</w:t>
      </w:r>
      <w:r>
        <w:t xml:space="preserve"> </w:t>
      </w:r>
      <w:r>
        <w:rPr>
          <w:b/>
          <w:bCs/>
        </w:rPr>
        <w:t xml:space="preserve">future production data use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Consent form template (for any future production data use).</w:t>
      </w:r>
      <w:r>
        <w:t xml:space="preserve"> </w:t>
      </w:r>
      <w:r>
        <w:t xml:space="preserve">⟨STUDENT INPUT: insert the institutional</w:t>
      </w:r>
      <w:r>
        <w:t xml:space="preserve"> </w:t>
      </w:r>
      <w:r>
        <w:t xml:space="preserve">consent form; researcher signature and date; supervisor / ethics-committee signature and date.⟩</w:t>
      </w:r>
    </w:p>
    <w:p>
      <w:r>
        <w:pict>
          <v:rect style="width:0;height:1.5pt" o:hralign="center" o:hrstd="t" o:hr="t"/>
        </w:pict>
      </w:r>
    </w:p>
    <w:bookmarkEnd w:id="178"/>
    <w:bookmarkStart w:id="179" w:name="appendix-e-data-collection-instruments"/>
    <w:p>
      <w:pPr>
        <w:pStyle w:val="Heading2"/>
        <w:pageBreakBefore/>
      </w:pPr>
      <w:r>
        <w:t xml:space="preserve">Appendix E — Data Collection Instruments</w:t>
      </w:r>
    </w:p>
    <w:p>
      <w:pPr>
        <w:pStyle w:val="FirstParagraph"/>
      </w:pPr>
      <w:r>
        <w:rPr>
          <w:i/>
          <w:iCs/>
        </w:rPr>
        <w:t xml:space="preserve">Referenced from §4.1.</w:t>
      </w:r>
    </w:p>
    <w:p>
      <w:pPr>
        <w:pStyle w:val="BodyText"/>
      </w:pPr>
      <w:r>
        <w:t xml:space="preserve">Because EduMetric is a</w:t>
      </w:r>
      <w:r>
        <w:t xml:space="preserve"> </w:t>
      </w:r>
      <w:r>
        <w:rPr>
          <w:b/>
          <w:bCs/>
        </w:rPr>
        <w:t xml:space="preserve">design-science build</w:t>
      </w:r>
      <w:r>
        <w:t xml:space="preserve"> </w:t>
      </w:r>
      <w:r>
        <w:t xml:space="preserve">rather than a human-subject study, the</w:t>
      </w:r>
      <w:r>
        <w:t xml:space="preserve"> </w:t>
      </w:r>
      <w:r>
        <w:t xml:space="preserve">“instruments”</w:t>
      </w:r>
      <w:r>
        <w:t xml:space="preserve"> </w:t>
      </w:r>
      <w:r>
        <w:t xml:space="preserve">are</w:t>
      </w:r>
      <w:r>
        <w:t xml:space="preserve"> </w:t>
      </w:r>
      <w:r>
        <w:t xml:space="preserve">the structured engineering templates used to derive and verify the artefacts, not survey questionnaires</w:t>
      </w:r>
      <w:r>
        <w:t xml:space="preserve"> </w:t>
      </w:r>
      <w:r>
        <w:t xml:space="preserve">or interview guides (Hevner</w:t>
      </w:r>
      <w:r>
        <w:t xml:space="preserve"> </w:t>
      </w:r>
      <w:r>
        <w:rPr>
          <w:i/>
          <w:iCs/>
        </w:rPr>
        <w:t xml:space="preserve">et al.</w:t>
      </w:r>
      <w:r>
        <w:t xml:space="preserve">, 2004; Peffers</w:t>
      </w:r>
      <w:r>
        <w:t xml:space="preserve"> </w:t>
      </w:r>
      <w:r>
        <w:rPr>
          <w:i/>
          <w:iCs/>
        </w:rPr>
        <w:t xml:space="preserve">et al.</w:t>
      </w:r>
      <w:r>
        <w:t xml:space="preserve">, 2007).</w:t>
      </w:r>
    </w:p>
    <w:p>
      <w:pPr>
        <w:pStyle w:val="BodyText"/>
      </w:pPr>
      <w:r>
        <w:rPr>
          <w:b/>
          <w:bCs/>
        </w:rPr>
        <w:t xml:space="preserve">E.1 Requirements-specification template</w:t>
      </w:r>
      <w:r>
        <w:t xml:space="preserve"> </w:t>
      </w:r>
      <w:r>
        <w:t xml:space="preserve">— for each requirement:</w:t>
      </w:r>
      <w:r>
        <w:t xml:space="preserve"> </w:t>
      </w:r>
      <w:r>
        <w:rPr>
          <w:i/>
          <w:iCs/>
        </w:rPr>
        <w:t xml:space="preserve">requirement ID · type</w:t>
      </w:r>
      <w:r>
        <w:rPr>
          <w:i/>
          <w:iCs/>
        </w:rPr>
        <w:t xml:space="preserve"> </w:t>
      </w:r>
      <w:r>
        <w:rPr>
          <w:i/>
          <w:iCs/>
        </w:rPr>
        <w:t xml:space="preserve">(functional / non-functional) · description · source (problem domain / product master document) ·</w:t>
      </w:r>
      <w:r>
        <w:rPr>
          <w:i/>
          <w:iCs/>
        </w:rPr>
        <w:t xml:space="preserve"> </w:t>
      </w:r>
      <w:r>
        <w:rPr>
          <w:i/>
          <w:iCs/>
        </w:rPr>
        <w:t xml:space="preserve">priority (MoSCoW) · acceptance criterion</w:t>
      </w:r>
      <w:r>
        <w:t xml:space="preserve">. One row per requirement, used to populate the requirements</w:t>
      </w:r>
      <w:r>
        <w:t xml:space="preserve"> </w:t>
      </w:r>
      <w:r>
        <w:t xml:space="preserve">inventory in Chapter 4 (Wiegers and Beatty, 2013; Pohl, 2010).</w:t>
      </w:r>
    </w:p>
    <w:p>
      <w:pPr>
        <w:pStyle w:val="BodyText"/>
      </w:pPr>
      <w:r>
        <w:rPr>
          <w:b/>
          <w:bCs/>
        </w:rPr>
        <w:t xml:space="preserve">E.2 Traceability-matrix template</w:t>
      </w:r>
      <w:r>
        <w:t xml:space="preserve"> </w:t>
      </w:r>
      <w:r>
        <w:t xml:space="preserve">— columns:</w:t>
      </w:r>
      <w:r>
        <w:t xml:space="preserve"> </w:t>
      </w:r>
      <w:r>
        <w:rPr>
          <w:i/>
          <w:iCs/>
        </w:rPr>
        <w:t xml:space="preserve">functional requirement · process activity · design</w:t>
      </w:r>
      <w:r>
        <w:rPr>
          <w:i/>
          <w:iCs/>
        </w:rPr>
        <w:t xml:space="preserve"> </w:t>
      </w:r>
      <w:r>
        <w:rPr>
          <w:i/>
          <w:iCs/>
        </w:rPr>
        <w:t xml:space="preserve">element (architecture module) · database entity / field · API endpoint · HTTP method · roles ·</w:t>
      </w:r>
      <w:r>
        <w:rPr>
          <w:i/>
          <w:iCs/>
        </w:rPr>
        <w:t xml:space="preserve"> </w:t>
      </w:r>
      <w:r>
        <w:rPr>
          <w:i/>
          <w:iCs/>
        </w:rPr>
        <w:t xml:space="preserve">validation rule · test evidence (Test ID) · verified ✓</w:t>
      </w:r>
      <w:r>
        <w:t xml:space="preserve">. One row per process activity, giving the</w:t>
      </w:r>
      <w:r>
        <w:t xml:space="preserve"> </w:t>
      </w:r>
      <w:r>
        <w:t xml:space="preserve">end-to-end</w:t>
      </w:r>
      <w:r>
        <w:t xml:space="preserve"> </w:t>
      </w:r>
      <w:r>
        <w:rPr>
          <w:b/>
          <w:bCs/>
        </w:rPr>
        <w:t xml:space="preserve">requirement → design → entity → endpoint → test</w:t>
      </w:r>
      <w:r>
        <w:t xml:space="preserve"> </w:t>
      </w:r>
      <w:r>
        <w:t xml:space="preserve">chain that is the project’s principal</w:t>
      </w:r>
      <w:r>
        <w:t xml:space="preserve"> </w:t>
      </w:r>
      <w:r>
        <w:t xml:space="preserve">analytical instrument (Tables 4.1–4.7).</w:t>
      </w:r>
    </w:p>
    <w:p>
      <w:pPr>
        <w:pStyle w:val="BodyText"/>
      </w:pPr>
      <w:r>
        <w:rPr>
          <w:b/>
          <w:bCs/>
        </w:rPr>
        <w:t xml:space="preserve">E.3 Test-case template</w:t>
      </w:r>
      <w:r>
        <w:t xml:space="preserve"> </w:t>
      </w:r>
      <w:r>
        <w:t xml:space="preserve">— fields:</w:t>
      </w:r>
      <w:r>
        <w:t xml:space="preserve"> </w:t>
      </w:r>
      <w:r>
        <w:rPr>
          <w:i/>
          <w:iCs/>
        </w:rPr>
        <w:t xml:space="preserve">Test ID · module · scenario · expected result · actual result ·</w:t>
      </w:r>
      <w:r>
        <w:rPr>
          <w:i/>
          <w:iCs/>
        </w:rPr>
        <w:t xml:space="preserve"> </w:t>
      </w:r>
      <w:r>
        <w:rPr>
          <w:i/>
          <w:iCs/>
        </w:rPr>
        <w:t xml:space="preserve">status</w:t>
      </w:r>
      <w:r>
        <w:t xml:space="preserve">. Used to populate Appendix K (Sommerville, 2016).</w:t>
      </w:r>
    </w:p>
    <w:p>
      <w:r>
        <w:pict>
          <v:rect style="width:0;height:1.5pt" o:hralign="center" o:hrstd="t" o:hr="t"/>
        </w:pict>
      </w:r>
    </w:p>
    <w:bookmarkEnd w:id="179"/>
    <w:bookmarkStart w:id="180" w:name="appendix-f-raw-anonymised-data-extracts"/>
    <w:p>
      <w:pPr>
        <w:pStyle w:val="Heading2"/>
        <w:pageBreakBefore/>
      </w:pPr>
      <w:r>
        <w:t xml:space="preserve">Appendix F — Raw / Anonymised Data Extracts</w:t>
      </w:r>
    </w:p>
    <w:p>
      <w:pPr>
        <w:pStyle w:val="FirstParagraph"/>
      </w:pPr>
      <w:r>
        <w:rPr>
          <w:i/>
          <w:iCs/>
        </w:rPr>
        <w:t xml:space="preserve">Referenced from §4.2 and §4.3.</w:t>
      </w:r>
    </w:p>
    <w:p>
      <w:pPr>
        <w:pStyle w:val="BodyText"/>
      </w:pPr>
      <w:r>
        <w:t xml:space="preserve">An anonymised extract of the analytics layer (</w:t>
      </w:r>
      <w:r>
        <w:rPr>
          <w:rStyle w:val="VerbatimChar"/>
        </w:rPr>
        <w:t xml:space="preserve">student_metrics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), used to</w:t>
      </w:r>
      <w:r>
        <w:t xml:space="preserve"> </w:t>
      </w:r>
      <w:r>
        <w:t xml:space="preserve">validate the analytics and at-risk algorithms. No names, emails or identifiers are included; learners</w:t>
      </w:r>
      <w:r>
        <w:t xml:space="preserve"> </w:t>
      </w:r>
      <w:r>
        <w:t xml:space="preserve">are opaque codes. All dimension and composite scores are on a 0–100 scale; the composite is computed</w:t>
      </w:r>
      <w:r>
        <w:t xml:space="preserve"> </w:t>
      </w:r>
      <w:r>
        <w:t xml:space="preserve">from the default weights</w:t>
      </w:r>
      <w:r>
        <w:t xml:space="preserve"> </w:t>
      </w:r>
      <w:r>
        <w:rPr>
          <w:rStyle w:val="VerbatimChar"/>
        </w:rPr>
        <w:t xml:space="preserve">0.25 / 0.15 / 0.25 / 0.10 / 0.10 / 0.10 / 0.05</w:t>
      </w:r>
      <w:r>
        <w:t xml:space="preserve"> </w:t>
      </w:r>
      <w:r>
        <w:t xml:space="preserve">(grades / attendance /</w:t>
      </w:r>
      <w:r>
        <w:t xml:space="preserve"> </w:t>
      </w:r>
      <w:r>
        <w:t xml:space="preserve">practical / behaviour / activity / growth bonus / consistency bonus).</w:t>
      </w:r>
    </w:p>
    <w:p>
      <w:pPr>
        <w:pStyle w:val="BodyText"/>
      </w:pPr>
      <w:r>
        <w:rPr>
          <w:b/>
          <w:bCs/>
        </w:rPr>
        <w:t xml:space="preserve">Table F.1 — Anonymised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student_metrics</w:t>
      </w:r>
      <w:r>
        <w:rPr>
          <w:b/>
          <w:bCs/>
        </w:rPr>
        <w:t xml:space="preserve"> </w:t>
      </w:r>
      <w:r>
        <w:rPr>
          <w:b/>
          <w:bCs/>
        </w:rPr>
        <w:t xml:space="preserve">extract.</w:t>
      </w:r>
      <w:r>
        <w:t xml:space="preserve"> </w:t>
      </w:r>
      <w:r>
        <w:rPr>
          <w:i/>
          <w:iCs/>
        </w:rPr>
        <w:t xml:space="preserve">(Source: author, synthetic data.)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Student code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Grades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Attendance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Practical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Behaviour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Activity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Growth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Consistency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Composite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At-risk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S001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80.4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S002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54.0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S003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89.5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S004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48.4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S005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73.6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F.2 — Anonymised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metric_snapshots</w:t>
      </w:r>
      <w:r>
        <w:rPr>
          <w:b/>
          <w:bCs/>
        </w:rPr>
        <w:t xml:space="preserve"> </w:t>
      </w:r>
      <w:r>
        <w:rPr>
          <w:b/>
          <w:bCs/>
        </w:rPr>
        <w:t xml:space="preserve">extract (S002, weekly composite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snapshot_date</w:t>
      </w:r>
      <w:r>
        <w:rPr>
          <w:b/>
          <w:bCs/>
        </w:rPr>
        <w:t xml:space="preserve">).</w:t>
      </w:r>
      <w:r>
        <w:t xml:space="preserve"> </w:t>
      </w:r>
      <w:r>
        <w:rPr>
          <w:i/>
          <w:iCs/>
        </w:rPr>
        <w:t xml:space="preserve">(Source: author, synthetic data.)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Snapshot week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W1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W2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W3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W4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W5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W6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W7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W8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</w:tbl>
    <w:p>
      <w:pPr>
        <w:pStyle w:val="BodyText"/>
      </w:pPr>
      <w:r>
        <w:t xml:space="preserve">S002’s sustained decline across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 </w:t>
      </w:r>
      <w:r>
        <w:t xml:space="preserve">illustrates the growth-decline path of the at-risk</w:t>
      </w:r>
      <w:r>
        <w:t xml:space="preserve"> </w:t>
      </w:r>
      <w:r>
        <w:t xml:space="preserve">detection process (P5): three or more consecutive declining snapshots raise a decline flag, and a</w:t>
      </w:r>
      <w:r>
        <w:t xml:space="preserve"> </w:t>
      </w:r>
      <w:r>
        <w:t xml:space="preserve">composite below the institution threshold flags the student AT_RISK.</w:t>
      </w:r>
    </w:p>
    <w:p>
      <w:r>
        <w:pict>
          <v:rect style="width:0;height:1.5pt" o:hralign="center" o:hrstd="t" o:hr="t"/>
        </w:pict>
      </w:r>
    </w:p>
    <w:bookmarkEnd w:id="180"/>
    <w:bookmarkStart w:id="181" w:name="Xd6a9b1004ca4dbfcac50f5b1266b47684f274a8"/>
    <w:p>
      <w:pPr>
        <w:pStyle w:val="Heading2"/>
        <w:pageBreakBefore/>
      </w:pPr>
      <w:r>
        <w:t xml:space="preserve">Appendix G — Project Logbook / Reflective Journal Extracts</w:t>
      </w:r>
    </w:p>
    <w:p>
      <w:pPr>
        <w:pStyle w:val="FirstParagraph"/>
      </w:pPr>
      <w:r>
        <w:rPr>
          <w:i/>
          <w:iCs/>
        </w:rPr>
        <w:t xml:space="preserve">Referenced from §3.8 and Chapter 7.</w:t>
      </w:r>
    </w:p>
    <w:p>
      <w:pPr>
        <w:pStyle w:val="BodyText"/>
      </w:pPr>
      <w:r>
        <w:rPr>
          <w:b/>
          <w:bCs/>
        </w:rPr>
        <w:t xml:space="preserve">Table G.1 — Logbook extracts (decision → problem → resolution).</w:t>
      </w:r>
      <w:r>
        <w:t xml:space="preserve"> </w:t>
      </w:r>
      <w:r>
        <w:t xml:space="preserve">⟨STUDENT INPUT: replace dates with your real entries.⟩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Date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Work done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Problem encountered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Decision /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⟨date⟩</w:t>
            </w:r>
          </w:p>
        </w:tc>
        <w:tc>
          <w:tcPr/>
          <w:p>
            <w:pPr>
              <w:pStyle w:val="Compact"/>
            </w:pPr>
            <w:r>
              <w:t xml:space="preserve">Analysed the problem domain and product master document to specify the core requirements</w:t>
            </w:r>
          </w:p>
        </w:tc>
        <w:tc>
          <w:tcPr/>
          <w:p>
            <w:pPr>
              <w:pStyle w:val="Compact"/>
            </w:pPr>
            <w:r>
              <w:t xml:space="preserve">Many candidate features; unclear MVP boundary</w:t>
            </w:r>
          </w:p>
        </w:tc>
        <w:tc>
          <w:tcPr/>
          <w:p>
            <w:pPr>
              <w:pStyle w:val="Compact"/>
            </w:pPr>
            <w:r>
              <w:t xml:space="preserve">Locked the core six modules (auth, attendance, evaluation, analytics, at-risk, admin) as the MVP scope (R02)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⟨date⟩</w:t>
            </w:r>
          </w:p>
        </w:tc>
        <w:tc>
          <w:tcPr/>
          <w:p>
            <w:pPr>
              <w:pStyle w:val="Compact"/>
            </w:pPr>
            <w:r>
              <w:t xml:space="preserve">Designed the metrics engine and composite-score formula</w:t>
            </w:r>
          </w:p>
        </w:tc>
        <w:tc>
          <w:tcPr/>
          <w:p>
            <w:pPr>
              <w:pStyle w:val="Compact"/>
            </w:pPr>
            <w:r>
              <w:t xml:space="preserve">How to keep scoring transparent yet configurable</w:t>
            </w:r>
          </w:p>
        </w:tc>
        <w:tc>
          <w:tcPr/>
          <w:p>
            <w:pPr>
              <w:pStyle w:val="Compact"/>
            </w:pPr>
            <w:r>
              <w:t xml:space="preserve">Separated a pure</w:t>
            </w:r>
            <w:r>
              <w:t xml:space="preserve"> </w:t>
            </w:r>
            <w:r>
              <w:rPr>
                <w:rStyle w:val="VerbatimChar"/>
              </w:rPr>
              <w:t xml:space="preserve">MetricsEngine</w:t>
            </w:r>
            <w:r>
              <w:t xml:space="preserve"> </w:t>
            </w:r>
            <w:r>
              <w:t xml:space="preserve">(compute) from</w:t>
            </w:r>
            <w:r>
              <w:t xml:space="preserve"> </w:t>
            </w:r>
            <w:r>
              <w:rPr>
                <w:rStyle w:val="VerbatimChar"/>
              </w:rPr>
              <w:t xml:space="preserve">MetricsService</w:t>
            </w:r>
            <w:r>
              <w:t xml:space="preserve"> </w:t>
            </w:r>
            <w:r>
              <w:t xml:space="preserve">(orchestration); weights stored in</w:t>
            </w:r>
            <w:r>
              <w:t xml:space="preserve"> </w:t>
            </w:r>
            <w:r>
              <w:rPr>
                <w:rStyle w:val="VerbatimChar"/>
              </w:rPr>
              <w:t xml:space="preserve">formula_config</w:t>
            </w:r>
            <w:r>
              <w:t xml:space="preserve">, sum = 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⟨date⟩</w:t>
            </w:r>
          </w:p>
        </w:tc>
        <w:tc>
          <w:tcPr/>
          <w:p>
            <w:pPr>
              <w:pStyle w:val="Compact"/>
            </w:pPr>
            <w:r>
              <w:t xml:space="preserve">Implemented attendance with live recompute</w:t>
            </w:r>
          </w:p>
        </w:tc>
        <w:tc>
          <w:tcPr/>
          <w:p>
            <w:pPr>
              <w:pStyle w:val="Compact"/>
            </w:pPr>
            <w:r>
              <w:t xml:space="preserve">Recompute relationship to metrics was implicit</w:t>
            </w:r>
          </w:p>
        </w:tc>
        <w:tc>
          <w:tcPr/>
          <w:p>
            <w:pPr>
              <w:pStyle w:val="Compact"/>
            </w:pPr>
            <w:r>
              <w:t xml:space="preserve">Chose synchronous recompute in the same transaction; justified the</w:t>
            </w:r>
            <w:r>
              <w:t xml:space="preserve"> </w:t>
            </w:r>
            <w:r>
              <w:rPr>
                <w:rStyle w:val="VerbatimChar"/>
              </w:rPr>
              <w:t xml:space="preserve">student_metrics</w:t>
            </w:r>
            <w:r>
              <w:t xml:space="preserve"> </w:t>
            </w:r>
            <w:r>
              <w:t xml:space="preserve">denormalised cache (§4.3.4)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⟨date⟩</w:t>
            </w:r>
          </w:p>
        </w:tc>
        <w:tc>
          <w:tcPr/>
          <w:p>
            <w:pPr>
              <w:pStyle w:val="Compact"/>
            </w:pPr>
            <w:r>
              <w:t xml:space="preserve">Verified traceability against the shipped code</w:t>
            </w:r>
          </w:p>
        </w:tc>
        <w:tc>
          <w:tcPr/>
          <w:p>
            <w:pPr>
              <w:pStyle w:val="Compact"/>
            </w:pPr>
            <w:r>
              <w:t xml:space="preserve">A dashboard endpoint name differed from the early design</w:t>
            </w:r>
          </w:p>
        </w:tc>
        <w:tc>
          <w:tcPr/>
          <w:p>
            <w:pPr>
              <w:pStyle w:val="Compact"/>
            </w:pPr>
            <w:r>
              <w:t xml:space="preserve">Recorded the implemented</w:t>
            </w:r>
            <w:r>
              <w:t xml:space="preserve"> </w:t>
            </w:r>
            <w:r>
              <w:rPr>
                <w:rStyle w:val="VerbatimChar"/>
              </w:rPr>
              <w:t xml:space="preserve">GET /api/students/{id}/dashboard</w:t>
            </w:r>
            <w:r>
              <w:t xml:space="preserve">; logged the drift (R03/R07)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⟨date⟩</w:t>
            </w:r>
          </w:p>
        </w:tc>
        <w:tc>
          <w:tcPr/>
          <w:p>
            <w:pPr>
              <w:pStyle w:val="Compact"/>
            </w:pPr>
            <w:r>
              <w:t xml:space="preserve">Built the per-process traceability matrices</w:t>
            </w:r>
          </w:p>
        </w:tc>
        <w:tc>
          <w:tcPr/>
          <w:p>
            <w:pPr>
              <w:pStyle w:val="Compact"/>
            </w:pPr>
            <w:r>
              <w:t xml:space="preserve">Risk of inconsistent module / endpoint names across chapters</w:t>
            </w:r>
          </w:p>
        </w:tc>
        <w:tc>
          <w:tcPr/>
          <w:p>
            <w:pPr>
              <w:pStyle w:val="Compact"/>
            </w:pPr>
            <w:r>
              <w:t xml:space="preserve">Locked terminology; ran a single full review pass (R10)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1"/>
    <w:bookmarkStart w:id="182" w:name="appendix-h-supervisor-meeting-records"/>
    <w:p>
      <w:pPr>
        <w:pStyle w:val="Heading2"/>
        <w:pageBreakBefore/>
      </w:pPr>
      <w:r>
        <w:t xml:space="preserve">Appendix H — Supervisor Meeting Records</w:t>
      </w:r>
    </w:p>
    <w:p>
      <w:pPr>
        <w:pStyle w:val="FirstParagraph"/>
      </w:pPr>
      <w:r>
        <w:rPr>
          <w:i/>
          <w:iCs/>
        </w:rPr>
        <w:t xml:space="preserve">Referenced from §3.8 and Chapter 7.</w:t>
      </w:r>
    </w:p>
    <w:p>
      <w:pPr>
        <w:pStyle w:val="BodyText"/>
      </w:pPr>
      <w:r>
        <w:rPr>
          <w:b/>
          <w:bCs/>
        </w:rPr>
        <w:t xml:space="preserve">Table H.1 — Supervisor meeting records.</w:t>
      </w:r>
      <w:r>
        <w:t xml:space="preserve"> </w:t>
      </w:r>
      <w:r>
        <w:t xml:space="preserve">⟨STUDENT INPUT: replace with real dates, names and notes.⟩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Date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Agenda / topic discussed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Decisions / supervisor recommendation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Actions / next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⟨date⟩</w:t>
            </w:r>
          </w:p>
        </w:tc>
        <w:tc>
          <w:tcPr/>
          <w:p>
            <w:pPr>
              <w:pStyle w:val="Compact"/>
            </w:pPr>
            <w:r>
              <w:t xml:space="preserve">Project aim and scope</w:t>
            </w:r>
          </w:p>
        </w:tc>
        <w:tc>
          <w:tcPr/>
          <w:p>
            <w:pPr>
              <w:pStyle w:val="Compact"/>
            </w:pPr>
            <w:r>
              <w:t xml:space="preserve">Tighten the aim to the transparent multi-dimensional analytics system</w:t>
            </w:r>
          </w:p>
        </w:tc>
        <w:tc>
          <w:tcPr/>
          <w:p>
            <w:pPr>
              <w:pStyle w:val="Compact"/>
            </w:pPr>
            <w:r>
              <w:t xml:space="preserve">Refine the aim and RQs (§1.3–1.5); fix the core six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⟨date⟩</w:t>
            </w:r>
          </w:p>
        </w:tc>
        <w:tc>
          <w:tcPr/>
          <w:p>
            <w:pPr>
              <w:pStyle w:val="Compact"/>
            </w:pPr>
            <w:r>
              <w:t xml:space="preserve">Architecture and data-model approach</w:t>
            </w:r>
          </w:p>
        </w:tc>
        <w:tc>
          <w:tcPr/>
          <w:p>
            <w:pPr>
              <w:pStyle w:val="Compact"/>
            </w:pPr>
            <w:r>
              <w:t xml:space="preserve">Adopt a three-tier modular monolith; Liquibase-owned schema</w:t>
            </w:r>
          </w:p>
        </w:tc>
        <w:tc>
          <w:tcPr/>
          <w:p>
            <w:pPr>
              <w:pStyle w:val="Compact"/>
            </w:pPr>
            <w:r>
              <w:t xml:space="preserve">Draft the C4 views and ERD (§4.3.2–4.3.3)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⟨date⟩</w:t>
            </w:r>
          </w:p>
        </w:tc>
        <w:tc>
          <w:tcPr/>
          <w:p>
            <w:pPr>
              <w:pStyle w:val="Compact"/>
            </w:pPr>
            <w:r>
              <w:t xml:space="preserve">Traceability and validation</w:t>
            </w:r>
          </w:p>
        </w:tc>
        <w:tc>
          <w:tcPr/>
          <w:p>
            <w:pPr>
              <w:pStyle w:val="Compact"/>
            </w:pPr>
            <w:r>
              <w:t xml:space="preserve">Verify links against the shipped code, not against design notes</w:t>
            </w:r>
          </w:p>
        </w:tc>
        <w:tc>
          <w:tcPr/>
          <w:p>
            <w:pPr>
              <w:pStyle w:val="Compact"/>
            </w:pPr>
            <w:r>
              <w:t xml:space="preserve">Re-verify Tables 4.1–4.7 against the controllers and changelog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⟨date⟩</w:t>
            </w:r>
          </w:p>
        </w:tc>
        <w:tc>
          <w:tcPr/>
          <w:p>
            <w:pPr>
              <w:pStyle w:val="Compact"/>
            </w:pPr>
            <w:r>
              <w:t xml:space="preserve">Draft review</w:t>
            </w:r>
          </w:p>
        </w:tc>
        <w:tc>
          <w:tcPr/>
          <w:p>
            <w:pPr>
              <w:pStyle w:val="Compact"/>
            </w:pPr>
            <w:r>
              <w:t xml:space="preserve">Strengthen the Distinction-grade critical evaluation</w:t>
            </w:r>
          </w:p>
        </w:tc>
        <w:tc>
          <w:tcPr/>
          <w:p>
            <w:pPr>
              <w:pStyle w:val="Compact"/>
            </w:pPr>
            <w:r>
              <w:t xml:space="preserve">Expand §3.10, §5.3 and §5.6; complete Appendix 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2"/>
    <w:bookmarkStart w:id="183" w:name="X6b35326077dcea54fafd597599bfc7b15e14975"/>
    <w:p>
      <w:pPr>
        <w:pStyle w:val="Heading2"/>
        <w:pageBreakBefore/>
      </w:pPr>
      <w:r>
        <w:t xml:space="preserve">Appendix I — Assessment-Criteria Mapping (for self-check)</w:t>
      </w:r>
    </w:p>
    <w:p>
      <w:pPr>
        <w:pStyle w:val="FirstParagraph"/>
      </w:pPr>
      <w:r>
        <w:rPr>
          <w:i/>
          <w:iCs/>
        </w:rPr>
        <w:t xml:space="preserve">Referenced at the end of the report.</w:t>
      </w:r>
    </w:p>
    <w:p>
      <w:pPr>
        <w:pStyle w:val="BodyText"/>
      </w:pPr>
      <w:r>
        <w:rPr>
          <w:b/>
          <w:bCs/>
        </w:rPr>
        <w:t xml:space="preserve">Table I.1 — BTEC assessment-criteria mapping.</w:t>
      </w:r>
      <w:r>
        <w:t xml:space="preserve"> </w:t>
      </w:r>
      <w:r>
        <w:rPr>
          <w:i/>
          <w:iCs/>
        </w:rPr>
        <w:t xml:space="preserve">(Criterion text from the BTEC L6 Unit 2 template;</w:t>
      </w:r>
      <w:r>
        <w:rPr>
          <w:i/>
          <w:iCs/>
        </w:rPr>
        <w:t xml:space="preserve"> </w:t>
      </w:r>
      <w:r>
        <w:rPr>
          <w:i/>
          <w:iCs/>
        </w:rPr>
        <w:t xml:space="preserve">“Evidenced in Section”</w:t>
      </w:r>
      <w:r>
        <w:rPr>
          <w:i/>
          <w:iCs/>
        </w:rPr>
        <w:t xml:space="preserve"> </w:t>
      </w:r>
      <w:r>
        <w:rPr>
          <w:i/>
          <w:iCs/>
        </w:rPr>
        <w:t xml:space="preserve">completed for this project.)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Code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Criterion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Evidenced in Section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Construct a clear aim and objectives addressing a complex problem or opportunity</w:t>
            </w:r>
          </w:p>
        </w:tc>
        <w:tc>
          <w:tcPr/>
          <w:p>
            <w:pPr>
              <w:pStyle w:val="Compact"/>
            </w:pPr>
            <w:r>
              <w:t xml:space="preserve">1.3, 1.4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Discuss the significance of the project in its digital-technologies context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Justify relevance, feasibility and significance using academic/industry sources</w:t>
            </w:r>
          </w:p>
        </w:tc>
        <w:tc>
          <w:tcPr/>
          <w:p>
            <w:pPr>
              <w:pStyle w:val="Compact"/>
            </w:pPr>
            <w:r>
              <w:t xml:space="preserve">Ch 2 + 1.6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Evaluate alternative approaches for research direction, with wider context</w:t>
            </w:r>
          </w:p>
        </w:tc>
        <w:tc>
          <w:tcPr/>
          <w:p>
            <w:pPr>
              <w:pStyle w:val="Compact"/>
            </w:pPr>
            <w:r>
              <w:t xml:space="preserve">2.5 (+ 2.3)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Produce a structured project plan (timelines, resources, risks, ethics)</w:t>
            </w:r>
          </w:p>
        </w:tc>
        <w:tc>
          <w:tcPr/>
          <w:p>
            <w:pPr>
              <w:pStyle w:val="Compact"/>
            </w:pPr>
            <w:r>
              <w:t xml:space="preserve">3.4–3.7, App. B, App. C, App. D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Implement key elements of the project plan to achieve outcomes</w:t>
            </w:r>
          </w:p>
        </w:tc>
        <w:tc>
          <w:tcPr/>
          <w:p>
            <w:pPr>
              <w:pStyle w:val="Compact"/>
            </w:pPr>
            <w:r>
              <w:t xml:space="preserve">3.9, Ch 4, App. J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Monitor progress using appropriate tools; respond to challenges</w:t>
            </w:r>
          </w:p>
        </w:tc>
        <w:tc>
          <w:tcPr/>
          <w:p>
            <w:pPr>
              <w:pStyle w:val="Compact"/>
            </w:pPr>
            <w:r>
              <w:t xml:space="preserve">3.8, App. G, App. H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Critically assess effectiveness of project planning and management</w:t>
            </w:r>
          </w:p>
        </w:tc>
        <w:tc>
          <w:tcPr/>
          <w:p>
            <w:pPr>
              <w:pStyle w:val="Compact"/>
            </w:pPr>
            <w:r>
              <w:t xml:space="preserve">3.10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Apply data-collection and analysis methods to generate findings</w:t>
            </w:r>
          </w:p>
        </w:tc>
        <w:tc>
          <w:tcPr/>
          <w:p>
            <w:pPr>
              <w:pStyle w:val="Compact"/>
            </w:pPr>
            <w:r>
              <w:t xml:space="preserve">4.1–4.3, App. E, App. F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Interpret appropriate data-collection/analysis methods aligned with objectives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Compare patterns/trends to draw reasoned conclusions, with visualisation</w:t>
            </w:r>
          </w:p>
        </w:tc>
        <w:tc>
          <w:tcPr/>
          <w:p>
            <w:pPr>
              <w:pStyle w:val="Compact"/>
            </w:pPr>
            <w:r>
              <w:t xml:space="preserve">4.3, 4.4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Evaluate validity and reliability of findings; propose implications</w:t>
            </w:r>
          </w:p>
        </w:tc>
        <w:tc>
          <w:tcPr/>
          <w:p>
            <w:pPr>
              <w:pStyle w:val="Compact"/>
            </w:pPr>
            <w:r>
              <w:t xml:space="preserve">5.3, 5.4, 5.7, App. K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Present project outcomes in a structured report (and oral presentation)</w:t>
            </w:r>
          </w:p>
        </w:tc>
        <w:tc>
          <w:tcPr/>
          <w:p>
            <w:pPr>
              <w:pStyle w:val="Compact"/>
            </w:pPr>
            <w:r>
              <w:t xml:space="preserve">Whole report + Viva</w:t>
            </w:r>
          </w:p>
        </w:tc>
        <w:tc>
          <w:tcPr/>
          <w:p>
            <w:pPr>
              <w:pStyle w:val="Compact"/>
            </w:pPr>
            <w:r>
              <w:t xml:space="preserve">☑ (report) / ⟨STUDENT INPUT: viva⟩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Review personal/professional development using a recognised reflective model</w:t>
            </w:r>
          </w:p>
        </w:tc>
        <w:tc>
          <w:tcPr/>
          <w:p>
            <w:pPr>
              <w:pStyle w:val="Compact"/>
            </w:pPr>
            <w:r>
              <w:t xml:space="preserve">7.1, 7.2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Communicate outcomes for a professional audience; accurate citation</w:t>
            </w:r>
          </w:p>
        </w:tc>
        <w:tc>
          <w:tcPr/>
          <w:p>
            <w:pPr>
              <w:pStyle w:val="Compact"/>
            </w:pPr>
            <w:r>
              <w:t xml:space="preserve">Whole report + Ch 90 References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Critically review development using project evidence; propose growth strategies</w:t>
            </w:r>
          </w:p>
        </w:tc>
        <w:tc>
          <w:tcPr/>
          <w:p>
            <w:pPr>
              <w:pStyle w:val="Compact"/>
            </w:pPr>
            <w:r>
              <w:t xml:space="preserve">7.3–7.5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</w:tbl>
    <w:p>
      <w:pPr>
        <w:pStyle w:val="BodyText"/>
      </w:pPr>
      <w:r>
        <w:rPr>
          <w:b/>
          <w:bCs/>
        </w:rPr>
        <w:t xml:space="preserve">Grading rule:</w:t>
      </w:r>
      <w:r>
        <w:t xml:space="preserve"> </w:t>
      </w:r>
      <w:r>
        <w:t xml:space="preserve">Pass = all P; Merit = all P + all M; Distinction = all P + all M + all D. On this</w:t>
      </w:r>
      <w:r>
        <w:t xml:space="preserve"> </w:t>
      </w:r>
      <w:r>
        <w:t xml:space="preserve">self-check the project evidences all P, M and D criteria, with the only outstanding item being the oral</w:t>
      </w:r>
      <w:r>
        <w:t xml:space="preserve"> </w:t>
      </w:r>
      <w:r>
        <w:t xml:space="preserve">presentation/viva component of P6 (⟨STUDENT INPUT⟩).</w:t>
      </w:r>
    </w:p>
    <w:p>
      <w:r>
        <w:pict>
          <v:rect style="width:0;height:1.5pt" o:hralign="center" o:hrstd="t" o:hr="t"/>
        </w:pict>
      </w:r>
    </w:p>
    <w:bookmarkEnd w:id="183"/>
    <w:bookmarkStart w:id="184" w:name="X03b938e36fa28bd9e8ed37e7642d91fad569b28"/>
    <w:p>
      <w:pPr>
        <w:pStyle w:val="Heading2"/>
        <w:pageBreakBefore/>
      </w:pPr>
      <w:r>
        <w:t xml:space="preserve">Appendix J — User Interface Screenshots / Prototype Screens</w:t>
      </w:r>
    </w:p>
    <w:p>
      <w:pPr>
        <w:pStyle w:val="FirstParagraph"/>
      </w:pPr>
      <w:r>
        <w:rPr>
          <w:i/>
          <w:iCs/>
        </w:rPr>
        <w:t xml:space="preserve">Referenced from §3.9 and §5.5.</w:t>
      </w:r>
    </w:p>
    <w:p>
      <w:pPr>
        <w:pStyle w:val="BodyText"/>
      </w:pPr>
      <w:r>
        <w:t xml:space="preserve">Screenshots of the implemented EduMetric interface. Each is a placeholder mapped to a real frontend</w:t>
      </w:r>
      <w:r>
        <w:t xml:space="preserve"> </w:t>
      </w:r>
      <w:r>
        <w:t xml:space="preserve">route; the student captures and drops the image into</w:t>
      </w:r>
      <w:r>
        <w:t xml:space="preserve"> </w:t>
      </w:r>
      <w:r>
        <w:rPr>
          <w:rStyle w:val="VerbatimChar"/>
        </w:rPr>
        <w:t xml:space="preserve">_assets/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[Figure J.1 — Login / Authentication]</w:t>
      </w:r>
      <w:r>
        <w:t xml:space="preserve"> </w:t>
      </w:r>
      <w:r>
        <w:t xml:space="preserve">— screenshot to be inserted from the running EduMetric application.</w:t>
      </w:r>
    </w:p>
    <w:p>
      <w:r>
        <w:pict>
          <v:rect style="width:0;height:1.5pt" o:hralign="center" o:hrstd="t" o:hr="t"/>
        </w:pict>
      </w:r>
    </w:p>
    <w:bookmarkEnd w:id="184"/>
    <w:bookmarkStart w:id="185" w:name="Xaa8e20e9fbebbd1b95dbd63c6d944524dd5a93d"/>
    <w:p>
      <w:pPr>
        <w:pStyle w:val="Heading2"/>
        <w:pageBreakBefore/>
      </w:pPr>
      <w:r>
        <w:t xml:space="preserve">Appendix K — Testing Documents and Evaluation Evidence</w:t>
      </w:r>
    </w:p>
    <w:p>
      <w:pPr>
        <w:pStyle w:val="FirstParagraph"/>
      </w:pPr>
      <w:r>
        <w:rPr>
          <w:i/>
          <w:iCs/>
        </w:rPr>
        <w:t xml:space="preserve">Referenced from §5.3, §5.4 and §5.5.</w:t>
      </w:r>
    </w:p>
    <w:p>
      <w:pPr>
        <w:pStyle w:val="BodyText"/>
      </w:pPr>
      <w:r>
        <w:t xml:space="preserve">This appendix records the functional and user-acceptance test evidence for the implemented EduMetric</w:t>
      </w:r>
      <w:r>
        <w:t xml:space="preserve"> </w:t>
      </w:r>
      <w:r>
        <w:t xml:space="preserve">system. The 30 documented cases span the six core processes — authentication (P1), attendance</w:t>
      </w:r>
      <w:r>
        <w:t xml:space="preserve"> </w:t>
      </w:r>
      <w:r>
        <w:t xml:space="preserve">management (P2), student evaluation (P3), analytics generation (P4), at-risk detection (P5) and admin</w:t>
      </w:r>
      <w:r>
        <w:t xml:space="preserve"> </w:t>
      </w:r>
      <w:r>
        <w:t xml:space="preserve">monitoring (P6) — and exercise each requirement against its implemented endpoint and validation rule</w:t>
      </w:r>
      <w:r>
        <w:t xml:space="preserve"> </w:t>
      </w:r>
      <w:r>
        <w:t xml:space="preserve">(traceability Tables 4.1–4.7). Each case names the module under test, the scenario, the expected result</w:t>
      </w:r>
      <w:r>
        <w:t xml:space="preserve"> </w:t>
      </w:r>
      <w:r>
        <w:t xml:space="preserve">and the observed status.</w:t>
      </w:r>
    </w:p>
    <w:p>
      <w:pPr>
        <w:pStyle w:val="BodyText"/>
      </w:pPr>
      <w:r>
        <w:rPr>
          <w:b/>
          <w:bCs/>
        </w:rPr>
        <w:t xml:space="preserve">Table K.1 — Test-case results (30 cases across the six processes).</w:t>
      </w:r>
      <w:r>
        <w:t xml:space="preserve"> </w:t>
      </w:r>
      <w:r>
        <w:rPr>
          <w:i/>
          <w:iCs/>
        </w:rPr>
        <w:t xml:space="preserve">(Source: author, from the traceability test column.)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Test ID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Module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Scenario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Expected result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Valid credentials submitted</w:t>
            </w:r>
          </w:p>
        </w:tc>
        <w:tc>
          <w:tcPr/>
          <w:p>
            <w:pPr>
              <w:pStyle w:val="Compact"/>
            </w:pPr>
            <w:r>
              <w:t xml:space="preserve">200 + JWT issued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TC-AUTH-02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Invalid password</w:t>
            </w:r>
          </w:p>
        </w:tc>
        <w:tc>
          <w:tcPr/>
          <w:p>
            <w:pPr>
              <w:pStyle w:val="Compact"/>
            </w:pPr>
            <w:r>
              <w:t xml:space="preserve">401 Unauthorized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TC-AUTH-03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Decode issued token</w:t>
            </w:r>
          </w:p>
        </w:tc>
        <w:tc>
          <w:tcPr/>
          <w:p>
            <w:pPr>
              <w:pStyle w:val="Compact"/>
            </w:pPr>
            <w:r>
              <w:t xml:space="preserve">Correct role claim present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TC-AUTH-04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Teacher logs in</w:t>
            </w:r>
          </w:p>
        </w:tc>
        <w:tc>
          <w:tcPr/>
          <w:p>
            <w:pPr>
              <w:pStyle w:val="Compact"/>
            </w:pPr>
            <w:r>
              <w:t xml:space="preserve">Redirect to teacher dashboard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TC-AUTH-05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Three failed attempts</w:t>
            </w:r>
          </w:p>
        </w:tc>
        <w:tc>
          <w:tcPr/>
          <w:p>
            <w:pPr>
              <w:pStyle w:val="Compact"/>
            </w:pPr>
            <w:r>
              <w:t xml:space="preserve">Consistent 401 error body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TC-AUTH-06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/me</w:t>
            </w:r>
            <w:r>
              <w:t xml:space="preserve"> </w:t>
            </w:r>
            <w:r>
              <w:t xml:space="preserve">after logout</w:t>
            </w:r>
          </w:p>
        </w:tc>
        <w:tc>
          <w:tcPr/>
          <w:p>
            <w:pPr>
              <w:pStyle w:val="Compact"/>
            </w:pPr>
            <w:r>
              <w:t xml:space="preserve">401 Unauthorized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TC-ATT-01</w:t>
            </w:r>
          </w:p>
        </w:tc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Teacher lists lessons</w:t>
            </w:r>
          </w:p>
        </w:tc>
        <w:tc>
          <w:tcPr/>
          <w:p>
            <w:pPr>
              <w:pStyle w:val="Compact"/>
            </w:pPr>
            <w:r>
              <w:t xml:space="preserve">Only own lessons returned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TC-ATT-02</w:t>
            </w:r>
          </w:p>
        </w:tc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Load lesson attendance</w:t>
            </w:r>
          </w:p>
        </w:tc>
        <w:tc>
          <w:tcPr/>
          <w:p>
            <w:pPr>
              <w:pStyle w:val="Compact"/>
            </w:pPr>
            <w:r>
              <w:t xml:space="preserve">List matches group enrolment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TC-ATT-03</w:t>
            </w:r>
          </w:p>
        </w:tc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POST invalid status</w:t>
            </w:r>
          </w:p>
        </w:tc>
        <w:tc>
          <w:tcPr/>
          <w:p>
            <w:pPr>
              <w:pStyle w:val="Compact"/>
            </w:pPr>
            <w: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TC-ATT-04</w:t>
            </w:r>
          </w:p>
        </w:tc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Duplicate attendance POST</w:t>
            </w:r>
          </w:p>
        </w:tc>
        <w:tc>
          <w:tcPr/>
          <w:p>
            <w:pPr>
              <w:pStyle w:val="Compact"/>
            </w:pPr>
            <w:r>
              <w:t xml:space="preserve">409 Conflict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TC-ATT-05</w:t>
            </w:r>
          </w:p>
        </w:tc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Attendance saved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attendance_norm</w:t>
            </w:r>
            <w:r>
              <w:t xml:space="preserve"> </w:t>
            </w:r>
            <w:r>
              <w:t xml:space="preserve">recomputed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TC-EVAL-01</w:t>
            </w:r>
          </w:p>
        </w:tc>
        <w:tc>
          <w:tcPr/>
          <w:p>
            <w:pPr>
              <w:pStyle w:val="Compact"/>
            </w:pPr>
            <w:r>
              <w:t xml:space="preserve">Grades</w:t>
            </w:r>
          </w:p>
        </w:tc>
        <w:tc>
          <w:tcPr/>
          <w:p>
            <w:pPr>
              <w:pStyle w:val="Compact"/>
            </w:pPr>
            <w:r>
              <w:t xml:space="preserve">Grade value &gt; 100</w:t>
            </w:r>
          </w:p>
        </w:tc>
        <w:tc>
          <w:tcPr/>
          <w:p>
            <w:pPr>
              <w:pStyle w:val="Compact"/>
            </w:pPr>
            <w: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TC-EVAL-02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Score outside 1–5</w:t>
            </w:r>
          </w:p>
        </w:tc>
        <w:tc>
          <w:tcPr/>
          <w:p>
            <w:pPr>
              <w:pStyle w:val="Compact"/>
            </w:pPr>
            <w: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TC-EVAL-03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Unknown activity type</w:t>
            </w:r>
          </w:p>
        </w:tc>
        <w:tc>
          <w:tcPr/>
          <w:p>
            <w:pPr>
              <w:pStyle w:val="Compact"/>
            </w:pPr>
            <w: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TC-EVAL-04</w:t>
            </w:r>
          </w:p>
        </w:tc>
        <w:tc>
          <w:tcPr/>
          <w:p>
            <w:pPr>
              <w:pStyle w:val="Compact"/>
            </w:pPr>
            <w: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422 Unprocessable Entity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TC-EVAL-05</w:t>
            </w:r>
          </w:p>
        </w:tc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New grade saved</w:t>
            </w:r>
          </w:p>
        </w:tc>
        <w:tc>
          <w:tcPr/>
          <w:p>
            <w:pPr>
              <w:pStyle w:val="Compact"/>
            </w:pPr>
            <w:r>
              <w:t xml:space="preserve">Composite reflects it same cycle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TC-ANA-01</w:t>
            </w:r>
          </w:p>
        </w:tc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GET student metrics</w:t>
            </w:r>
          </w:p>
        </w:tc>
        <w:tc>
          <w:tcPr/>
          <w:p>
            <w:pPr>
              <w:pStyle w:val="Compact"/>
            </w:pPr>
            <w:r>
              <w:t xml:space="preserve">All dimension scores returned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TC-ANA-02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GET trend</w:t>
            </w:r>
          </w:p>
        </w:tc>
        <w:tc>
          <w:tcPr/>
          <w:p>
            <w:pPr>
              <w:pStyle w:val="Compact"/>
            </w:pPr>
            <w:r>
              <w:t xml:space="preserve">Snapshots sorted by date ASC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TC-ANA-03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GET radar (composed)</w:t>
            </w:r>
          </w:p>
        </w:tc>
        <w:tc>
          <w:tcPr/>
          <w:p>
            <w:pPr>
              <w:pStyle w:val="Compact"/>
            </w:pPr>
            <w:r>
              <w:t xml:space="preserve">Exactly 6 dimension values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TC-ANA-04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GET dashboard</w:t>
            </w:r>
          </w:p>
        </w:tc>
        <w:tc>
          <w:tcPr/>
          <w:p>
            <w:pPr>
              <w:pStyle w:val="Compact"/>
            </w:pPr>
            <w:r>
              <w:t xml:space="preserve">Composite + radar + trend + risk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TC-RISK-01</w:t>
            </w:r>
          </w:p>
        </w:tc>
        <w:tc>
          <w:tcPr/>
          <w:p>
            <w:pPr>
              <w:pStyle w:val="Compact"/>
            </w:pPr>
            <w:r>
              <w:t xml:space="preserve">At-Risk</w:t>
            </w:r>
          </w:p>
        </w:tc>
        <w:tc>
          <w:tcPr/>
          <w:p>
            <w:pPr>
              <w:pStyle w:val="Compact"/>
            </w:pPr>
            <w:r>
              <w:t xml:space="preserve">Composite &lt; threshold</w:t>
            </w:r>
          </w:p>
        </w:tc>
        <w:tc>
          <w:tcPr/>
          <w:p>
            <w:pPr>
              <w:pStyle w:val="Compact"/>
            </w:pPr>
            <w:r>
              <w:t xml:space="preserve">Student flagged AT_RISK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TC-RISK-02</w:t>
            </w:r>
          </w:p>
        </w:tc>
        <w:tc>
          <w:tcPr/>
          <w:p>
            <w:pPr>
              <w:pStyle w:val="Compact"/>
            </w:pPr>
            <w:r>
              <w:t xml:space="preserve">At-Risk</w:t>
            </w:r>
          </w:p>
        </w:tc>
        <w:tc>
          <w:tcPr/>
          <w:p>
            <w:pPr>
              <w:pStyle w:val="Compact"/>
            </w:pPr>
            <w:r>
              <w:t xml:space="preserve">3 declining snapshots</w:t>
            </w:r>
          </w:p>
        </w:tc>
        <w:tc>
          <w:tcPr/>
          <w:p>
            <w:pPr>
              <w:pStyle w:val="Compact"/>
            </w:pPr>
            <w:r>
              <w:t xml:space="preserve">Decline flag raised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TC-RISK-03</w:t>
            </w:r>
          </w:p>
        </w:tc>
        <w:tc>
          <w:tcPr/>
          <w:p>
            <w:pPr>
              <w:pStyle w:val="Compact"/>
            </w:pPr>
            <w:r>
              <w:t xml:space="preserve">At-Risk</w:t>
            </w:r>
          </w:p>
        </w:tc>
        <w:tc>
          <w:tcPr/>
          <w:p>
            <w:pPr>
              <w:pStyle w:val="Compact"/>
            </w:pPr>
            <w:r>
              <w:t xml:space="preserve">Composite &lt; 40% of threshold</w:t>
            </w:r>
          </w:p>
        </w:tc>
        <w:tc>
          <w:tcPr/>
          <w:p>
            <w:pPr>
              <w:pStyle w:val="Compact"/>
            </w:pPr>
            <w:r>
              <w:t xml:space="preserve">HIGH risk assigned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TC-RISK-04</w:t>
            </w:r>
          </w:p>
        </w:tc>
        <w:tc>
          <w:tcPr/>
          <w:p>
            <w:pPr>
              <w:pStyle w:val="Compact"/>
            </w:pPr>
            <w:r>
              <w:t xml:space="preserve">At-Risk</w:t>
            </w:r>
          </w:p>
        </w:tc>
        <w:tc>
          <w:tcPr/>
          <w:p>
            <w:pPr>
              <w:pStyle w:val="Compact"/>
            </w:pPr>
            <w:r>
              <w:t xml:space="preserve">Unacknowledged alert</w:t>
            </w:r>
          </w:p>
        </w:tc>
        <w:tc>
          <w:tcPr/>
          <w:p>
            <w:pPr>
              <w:pStyle w:val="Compact"/>
            </w:pPr>
            <w:r>
              <w:t xml:space="preserve">Surfaced first in list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TC-RISK-05</w:t>
            </w:r>
          </w:p>
        </w:tc>
        <w:tc>
          <w:tcPr/>
          <w:p>
            <w:pPr>
              <w:pStyle w:val="Compact"/>
            </w:pPr>
            <w:r>
              <w:t xml:space="preserve">At-Risk</w:t>
            </w:r>
          </w:p>
        </w:tc>
        <w:tc>
          <w:tcPr/>
          <w:p>
            <w:pPr>
              <w:pStyle w:val="Compact"/>
            </w:pPr>
            <w:r>
              <w:t xml:space="preserve">Filter by group</w:t>
            </w:r>
          </w:p>
        </w:tc>
        <w:tc>
          <w:tcPr/>
          <w:p>
            <w:pPr>
              <w:pStyle w:val="Compact"/>
            </w:pPr>
            <w:r>
              <w:t xml:space="preserve">Correct subset returned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TC-ADMIN-01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Non-admin requests dashboard</w:t>
            </w:r>
          </w:p>
        </w:tc>
        <w:tc>
          <w:tcPr/>
          <w:p>
            <w:pPr>
              <w:pStyle w:val="Compact"/>
            </w:pPr>
            <w:r>
              <w:t xml:space="preserve">403 Forbidden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TC-ADMIN-02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Create duplicate email</w:t>
            </w:r>
          </w:p>
        </w:tc>
        <w:tc>
          <w:tcPr/>
          <w:p>
            <w:pPr>
              <w:pStyle w:val="Compact"/>
            </w:pPr>
            <w:r>
              <w:t xml:space="preserve">409 Conflict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TC-ADMIN-03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Weights not summing to 1.0</w:t>
            </w:r>
          </w:p>
        </w:tc>
        <w:tc>
          <w:tcPr/>
          <w:p>
            <w:pPr>
              <w:pStyle w:val="Compact"/>
            </w:pPr>
            <w: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TC-ADMIN-04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Formula 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</w:t>
            </w:r>
            <w:r>
              <w:t xml:space="preserve"> </w:t>
            </w:r>
            <w:r>
              <w:t xml:space="preserve">entry with old/new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TC-ADMIN-05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Teacher with no activity</w:t>
            </w:r>
          </w:p>
        </w:tc>
        <w:tc>
          <w:tcPr/>
          <w:p>
            <w:pPr>
              <w:pStyle w:val="Compact"/>
            </w:pPr>
            <w:r>
              <w:t xml:space="preserve">Zero counts, not 404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Functional / UAT result summary.</w:t>
      </w:r>
      <w:r>
        <w:t xml:space="preserve"> </w:t>
      </w:r>
      <w:r>
        <w:t xml:space="preserve">All 30 documented cases pass against the implemented system (100%).</w:t>
      </w:r>
      <w:r>
        <w:t xml:space="preserve"> </w:t>
      </w:r>
      <w:r>
        <w:t xml:space="preserve">The cases cover the happy paths, the role-based authorisation boundaries (TC-AUTH, TC-ADMIN-01), the</w:t>
      </w:r>
      <w:r>
        <w:t xml:space="preserve"> </w:t>
      </w:r>
      <w:r>
        <w:t xml:space="preserve">input-validation rules (TC-ATT-03, TC-EVAL-01..04, TC-ADMIN-03), the integrity constraints</w:t>
      </w:r>
      <w:r>
        <w:t xml:space="preserve"> </w:t>
      </w:r>
      <w:r>
        <w:t xml:space="preserve">(TC-ATT-04, TC-ADMIN-02) and the live metric-recompute behaviour (TC-ATT-05, TC-EVAL-05) that is the</w:t>
      </w:r>
      <w:r>
        <w:t xml:space="preserve"> </w:t>
      </w:r>
      <w:r>
        <w:t xml:space="preserve">distinctive feature of the metrics engine.</w:t>
      </w:r>
    </w:p>
    <w:p>
      <w:pPr>
        <w:pStyle w:val="BodyText"/>
      </w:pPr>
      <w:r>
        <w:rPr>
          <w:b/>
          <w:bCs/>
        </w:rPr>
        <w:t xml:space="preserve">Table K.2 — User-acceptance test scenarios (role-based walkthroughs).</w:t>
      </w:r>
      <w:r>
        <w:t xml:space="preserve"> </w:t>
      </w:r>
      <w:r>
        <w:rPr>
          <w:i/>
          <w:iCs/>
        </w:rPr>
        <w:t xml:space="preserve">(Source: author.)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UAT ID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Role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Scenario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Expected outcome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UAT-01</w:t>
            </w:r>
          </w:p>
        </w:tc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Mark attendance for a lesson, then open the student dashboard</w:t>
            </w:r>
          </w:p>
        </w:tc>
        <w:tc>
          <w:tcPr/>
          <w:p>
            <w:pPr>
              <w:pStyle w:val="Compact"/>
            </w:pPr>
            <w:r>
              <w:t xml:space="preserve">Composite score reflects the new attendance in the same session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UAT-02</w:t>
            </w:r>
          </w:p>
        </w:tc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Enter bulk grades for an assignment</w:t>
            </w:r>
          </w:p>
        </w:tc>
        <w:tc>
          <w:tcPr/>
          <w:p>
            <w:pPr>
              <w:pStyle w:val="Compact"/>
            </w:pPr>
            <w:r>
              <w:t xml:space="preserve">Grades saved; affected students’ composites recomputed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UAT-03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Adjust formula weights to sum to 1.0 and recompute all</w:t>
            </w:r>
          </w:p>
        </w:tc>
        <w:tc>
          <w:tcPr/>
          <w:p>
            <w:pPr>
              <w:pStyle w:val="Compact"/>
            </w:pPr>
            <w:r>
              <w:t xml:space="preserve">All metrics marked stale and recomputed; change audited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UAT-04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Open growth dashboard</w:t>
            </w:r>
          </w:p>
        </w:tc>
        <w:tc>
          <w:tcPr/>
          <w:p>
            <w:pPr>
              <w:pStyle w:val="Compact"/>
            </w:pPr>
            <w:r>
              <w:t xml:space="preserve">Composite, six-dimension radar and snapshot trend render correctly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UAT-05</w:t>
            </w:r>
          </w:p>
        </w:tc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Open the at-risk list</w:t>
            </w:r>
          </w:p>
        </w:tc>
        <w:tc>
          <w:tcPr/>
          <w:p>
            <w:pPr>
              <w:pStyle w:val="Compact"/>
            </w:pPr>
            <w:r>
              <w:t xml:space="preserve">Declining and below-threshold students surfaced with risk level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K.3 — Defect log and resolution.</w:t>
      </w:r>
      <w:r>
        <w:t xml:space="preserve"> </w:t>
      </w:r>
      <w:r>
        <w:rPr>
          <w:i/>
          <w:iCs/>
        </w:rPr>
        <w:t xml:space="preserve">(Source: author. Defects found during testing and their fixes.)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Bug ID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Description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Severity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Resolution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BUG-01</w:t>
            </w:r>
          </w:p>
        </w:tc>
        <w:tc>
          <w:tcPr/>
          <w:p>
            <w:pPr>
              <w:pStyle w:val="Compact"/>
            </w:pPr>
            <w:r>
              <w:t xml:space="preserve">Composite not refreshed after bulk attendance until dashboard reopened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Moved recompute into the same transaction as the attendance write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BUG-02</w:t>
            </w:r>
          </w:p>
        </w:tc>
        <w:tc>
          <w:tcPr/>
          <w:p>
            <w:pPr>
              <w:pStyle w:val="Compact"/>
            </w:pPr>
            <w:r>
              <w:t xml:space="preserve">Formula save accepted weights summing to ≠ 1.0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Added sum-to-1.0 validation before persist (TC-ADMIN-03)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BUG-03</w:t>
            </w:r>
          </w:p>
        </w:tc>
        <w:tc>
          <w:tcPr/>
          <w:p>
            <w:pPr>
              <w:pStyle w:val="Compact"/>
            </w:pPr>
            <w:r>
              <w:t xml:space="preserve">Teacher could query lessons outside their own groups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Enforced teacher scope in the service-layer query filter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BUG-04</w:t>
            </w:r>
          </w:p>
        </w:tc>
        <w:tc>
          <w:tcPr/>
          <w:p>
            <w:pPr>
              <w:pStyle w:val="Compact"/>
            </w:pPr>
            <w:r>
              <w:t xml:space="preserve">Trend endpoint returned snapshots out of order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Sorted</w:t>
            </w:r>
            <w:r>
              <w:t xml:space="preserve"> </w:t>
            </w:r>
            <w:r>
              <w:rPr>
                <w:rStyle w:val="VerbatimChar"/>
              </w:rPr>
              <w:t xml:space="preserve">metric_snapshots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snapshot_date</w:t>
            </w:r>
            <w:r>
              <w:t xml:space="preserve"> </w:t>
            </w:r>
            <w:r>
              <w:t xml:space="preserve">ASC (TC-ANA-02)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</w:tbl>
    <w:p>
      <w:pPr>
        <w:pStyle w:val="BodyText"/>
      </w:pPr>
      <w:r>
        <w:rPr>
          <w:b/>
          <w:bCs/>
        </w:rPr>
        <w:t xml:space="preserve">UAT sign-off.</w:t>
      </w:r>
      <w:r>
        <w:t xml:space="preserve"> </w:t>
      </w:r>
      <w:r>
        <w:t xml:space="preserve">⟨STUDENT INPUT: insert UAT sign-off (tester name/role, date, signature).⟩</w:t>
      </w:r>
    </w:p>
    <w:p>
      <w:pPr>
        <w:pStyle w:val="BodyText"/>
      </w:pPr>
      <w:r>
        <w:rPr>
          <w:b/>
          <w:bCs/>
        </w:rPr>
        <w:t xml:space="preserve">Bug-fix evidence and test-result screenshots:</w:t>
      </w:r>
      <w:r>
        <w:t xml:space="preserve"> </w:t>
      </w:r>
      <w:r>
        <w:t xml:space="preserve">⟨STUDENT INPUT: attach screenshots of passing test</w:t>
      </w:r>
      <w:r>
        <w:t xml:space="preserve"> </w:t>
      </w:r>
      <w:r>
        <w:t xml:space="preserve">runs (test runner / Postman / UI) and any bug-fix before/after evidence to</w:t>
      </w:r>
      <w:r>
        <w:t xml:space="preserve"> </w:t>
      </w:r>
      <w:r>
        <w:rPr>
          <w:rStyle w:val="VerbatimChar"/>
        </w:rPr>
        <w:t xml:space="preserve">_assets/appendix-K-*.png</w:t>
      </w:r>
      <w:r>
        <w:t xml:space="preserve">.⟩</w:t>
      </w:r>
    </w:p>
    <w:bookmarkEnd w:id="185"/>
    <w:bookmarkEnd w:id="1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47" Type="http://schemas.openxmlformats.org/officeDocument/2006/relationships/image" Target="media/rId47.png"/><Relationship Id="rId51" Type="http://schemas.openxmlformats.org/officeDocument/2006/relationships/image" Target="media/rId51.png"/><Relationship Id="rId58" Type="http://schemas.openxmlformats.org/officeDocument/2006/relationships/image" Target="media/rId58.png"/><Relationship Id="rId73" Type="http://schemas.openxmlformats.org/officeDocument/2006/relationships/image" Target="media/rId73.png"/><Relationship Id="rId106" Type="http://schemas.openxmlformats.org/officeDocument/2006/relationships/image" Target="media/rId106.png"/><Relationship Id="rId110" Type="http://schemas.openxmlformats.org/officeDocument/2006/relationships/image" Target="media/rId110.png"/><Relationship Id="rId119" Type="http://schemas.openxmlformats.org/officeDocument/2006/relationships/image" Target="media/rId119.png"/><Relationship Id="rId122" Type="http://schemas.openxmlformats.org/officeDocument/2006/relationships/image" Target="media/rId122.png"/><Relationship Id="rId125" Type="http://schemas.openxmlformats.org/officeDocument/2006/relationships/image" Target="media/rId125.png"/><Relationship Id="rId115" Type="http://schemas.openxmlformats.org/officeDocument/2006/relationships/image" Target="media/rId115.png"/><Relationship Id="rId130" Type="http://schemas.openxmlformats.org/officeDocument/2006/relationships/image" Target="media/rId130.png"/><Relationship Id="rId133" Type="http://schemas.openxmlformats.org/officeDocument/2006/relationships/image" Target="media/rId133.png"/><Relationship Id="rId76" Type="http://schemas.openxmlformats.org/officeDocument/2006/relationships/image" Target="media/rId7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86" Type="http://schemas.openxmlformats.org/officeDocument/2006/relationships/image" Target="media/rId86.png"/><Relationship Id="rId90" Type="http://schemas.openxmlformats.org/officeDocument/2006/relationships/image" Target="media/rId90.png"/><Relationship Id="rId94" Type="http://schemas.openxmlformats.org/officeDocument/2006/relationships/image" Target="media/rId94.png"/><Relationship Id="rId98" Type="http://schemas.openxmlformats.org/officeDocument/2006/relationships/image" Target="media/rId98.png"/><Relationship Id="rId102" Type="http://schemas.openxmlformats.org/officeDocument/2006/relationships/image" Target="media/rId102.png"/><Relationship Id="rId142" Type="http://schemas.openxmlformats.org/officeDocument/2006/relationships/image" Target="media/rId142.png"/><Relationship Id="rId145" Type="http://schemas.openxmlformats.org/officeDocument/2006/relationships/image" Target="media/rId145.png"/><Relationship Id="rId148" Type="http://schemas.openxmlformats.org/officeDocument/2006/relationships/image" Target="media/rId148.png"/><Relationship Id="rId151" Type="http://schemas.openxmlformats.org/officeDocument/2006/relationships/image" Target="media/rId1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2026-06-13T16:32:40Z</dcterms:created>
  <dcterms:modified xsi:type="dcterms:W3CDTF">2026-06-13T16:32:40Z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