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Arial" w:cs="Arial" w:eastAsia="Arial" w:hAnsi="Arial"/>
          <w:b/>
          <w:bCs/>
          <w:sz w:val="28"/>
          <w:szCs w:val="28"/>
        </w:rPr>
        <w:t xml:space="preserve">Chapter 4 — Data Collection and Analysis</w:t>
      </w:r>
    </w:p>
    <w:p>
      <w:pPr>
        <w:pStyle w:val="Heading2"/>
        <w:spacing w:after="80" w:before="240"/>
      </w:pPr>
      <w:r>
        <w:rPr>
          <w:rFonts w:ascii="Arial" w:cs="Arial" w:eastAsia="Arial" w:hAnsi="Arial"/>
          <w:b/>
          <w:bCs/>
          <w:sz w:val="24"/>
          <w:szCs w:val="24"/>
        </w:rPr>
        <w:t xml:space="preserve">4.1 Introduction</w:t>
      </w:r>
    </w:p>
    <w:p>
      <w:pPr>
        <w:spacing w:after="120" w:before="80" w:line="276"/>
      </w:pPr>
      <w:r>
        <w:rPr>
          <w:rFonts w:ascii="Arial" w:cs="Arial" w:eastAsia="Arial" w:hAnsi="Arial"/>
          <w:sz w:val="22"/>
          <w:szCs w:val="22"/>
        </w:rPr>
        <w:t xml:space="preserve">This chapter presents the artefact-driven analysis conducted within the EduMetric CRM case study. Unlike conventional information systems research that relies on survey instruments or structured interviews, this dissertation adopts an artefact-oriented methodology grounded in the principles of Design Science Research (Hevner et al., 2004). The primary unit of analysis is not user opinion but the engineering artefact: the BPMN process model, the architectural module, the database entity, and the API endpoint. The objective of this chapter is therefore to demonstrate, through systematic artefact analysis, how BPMN notation contributed to the derivation of software engineering artefacts across all major development domains of EduMetric CRM.</w:t>
      </w:r>
    </w:p>
    <w:p>
      <w:pPr>
        <w:spacing w:after="120" w:before="80" w:line="276"/>
      </w:pPr>
      <w:r>
        <w:rPr>
          <w:rFonts w:ascii="Arial" w:cs="Arial" w:eastAsia="Arial" w:hAnsi="Arial"/>
          <w:sz w:val="22"/>
          <w:szCs w:val="22"/>
        </w:rPr>
        <w:t xml:space="preserve">Six core processes were modelled in BPMN and subsequently analysed for their contribution to requirements engineering, software architecture, database design, API design, and traceability. These processes are: User Authentication, Attendance Management, Student Evaluation, Student Analytics Generation, At-Risk Student Detection, and Admin Monitoring. Together they represent the full operational scope of EduMetric CRM and provide sufficient breadth to evaluate BPMN across multiple software engineering contexts, from transactional workflows to analytical processing and administrative governance.</w:t>
      </w:r>
    </w:p>
    <w:p>
      <w:pPr>
        <w:spacing w:after="120" w:before="80" w:line="276"/>
      </w:pPr>
      <w:r>
        <w:rPr>
          <w:rFonts w:ascii="Arial" w:cs="Arial" w:eastAsia="Arial" w:hAnsi="Arial"/>
          <w:sz w:val="22"/>
          <w:szCs w:val="22"/>
        </w:rPr>
        <w:t xml:space="preserve">The analytical framework applied in this chapter follows a consistent transformation pathway for each process: BPMN process model → functional requirements → architecture components → database entities → API endpoints → validation evidence. This pathway, grounded in requirements engineering theory (Wiegers and Beatty, 2013) and design science methodology (Peffers et al., 2007), is operationalised through a traceability matrix that provides a structured record of artefact derivation. The complete traceability matrix is provided in Appendix K and summarised within each process section below.</w:t>
      </w:r>
    </w:p>
    <w:p>
      <w:pPr>
        <w:pStyle w:val="Heading2"/>
        <w:spacing w:after="80" w:before="240"/>
      </w:pPr>
      <w:r>
        <w:rPr>
          <w:rFonts w:ascii="Arial" w:cs="Arial" w:eastAsia="Arial" w:hAnsi="Arial"/>
          <w:b/>
          <w:bCs/>
          <w:sz w:val="24"/>
          <w:szCs w:val="24"/>
        </w:rPr>
        <w:t xml:space="preserve">4.2 Data Collection Methods</w:t>
      </w:r>
    </w:p>
    <w:p>
      <w:pPr>
        <w:pStyle w:val="Heading3"/>
        <w:spacing w:after="60" w:before="200"/>
      </w:pPr>
      <w:r>
        <w:rPr>
          <w:rFonts w:ascii="Arial" w:cs="Arial" w:eastAsia="Arial" w:hAnsi="Arial"/>
          <w:b/>
          <w:bCs/>
          <w:sz w:val="22"/>
          <w:szCs w:val="22"/>
        </w:rPr>
        <w:t xml:space="preserve">4.2.1 Primary Artefacts</w:t>
      </w:r>
    </w:p>
    <w:p>
      <w:pPr>
        <w:spacing w:after="120" w:before="80" w:line="276"/>
      </w:pPr>
      <w:r>
        <w:rPr>
          <w:rFonts w:ascii="Arial" w:cs="Arial" w:eastAsia="Arial" w:hAnsi="Arial"/>
          <w:sz w:val="22"/>
          <w:szCs w:val="22"/>
        </w:rPr>
        <w:t xml:space="preserve">The primary data source for this research consisted of software engineering artefacts developed iteratively throughout the EduMetric CRM project. These included six BPMN process diagrams modelled in Visual Paradigm using BPMN 2.0 notation (OMG, 2014); a modular monolith architecture model decomposed by bounded context; a relational database schema for PostgreSQL comprising fourteen core entities; a REST API specification grouped by domain; and a full traceability matrix linking BPMN activities to implementation artefacts across all six processes. Each artefact was treated as a primary data source and analysed both independently and in relation to other artefacts to identify transformation pathways and validate traceability claims.</w:t>
      </w:r>
    </w:p>
    <w:p>
      <w:pPr>
        <w:pStyle w:val="Heading3"/>
        <w:spacing w:after="60" w:before="200"/>
      </w:pPr>
      <w:r>
        <w:rPr>
          <w:rFonts w:ascii="Arial" w:cs="Arial" w:eastAsia="Arial" w:hAnsi="Arial"/>
          <w:b/>
          <w:bCs/>
          <w:sz w:val="22"/>
          <w:szCs w:val="22"/>
        </w:rPr>
        <w:t xml:space="preserve">4.2.2 Secondary Sources</w:t>
      </w:r>
    </w:p>
    <w:p>
      <w:pPr>
        <w:spacing w:after="120" w:before="80" w:line="276"/>
      </w:pPr>
      <w:r>
        <w:rPr>
          <w:rFonts w:ascii="Arial" w:cs="Arial" w:eastAsia="Arial" w:hAnsi="Arial"/>
          <w:sz w:val="22"/>
          <w:szCs w:val="22"/>
        </w:rPr>
        <w:t xml:space="preserve">Secondary data consisted of the academic and professional literature reviewed in Chapter 2. These sources provided the theoretical criteria against which artefact quality and BPMN effectiveness were evaluated. Key references used during analysis included Dumas et al. (2018) for BPMN notation principles, Bass, Clements and Kazman (2021) for architectural reasoning, Connolly and Begg (2015) for database design evaluation, and Richardson and Amundsen (2020) for REST API assessment. Comparisons between the observed artefacts and the expectations established in the literature are discussed further in Chapter 5.</w:t>
      </w:r>
    </w:p>
    <w:p>
      <w:pPr>
        <w:pStyle w:val="Heading3"/>
        <w:spacing w:after="60" w:before="200"/>
      </w:pPr>
      <w:r>
        <w:rPr>
          <w:rFonts w:ascii="Arial" w:cs="Arial" w:eastAsia="Arial" w:hAnsi="Arial"/>
          <w:b/>
          <w:bCs/>
          <w:sz w:val="22"/>
          <w:szCs w:val="22"/>
        </w:rPr>
        <w:t xml:space="preserve">4.2.3 Analytical Techniques</w:t>
      </w:r>
    </w:p>
    <w:p>
      <w:pPr>
        <w:spacing w:after="120" w:before="80" w:line="276"/>
      </w:pPr>
      <w:r>
        <w:rPr>
          <w:rFonts w:ascii="Arial" w:cs="Arial" w:eastAsia="Arial" w:hAnsi="Arial"/>
          <w:sz w:val="22"/>
          <w:szCs w:val="22"/>
        </w:rPr>
        <w:t xml:space="preserve">Three analytical techniques were applied. Artefact-based analysis examined the content and structure of each BPMN diagram to identify activities, gateways, participants, and exception paths that could be translated into software engineering constructs. Traceability analysis established and verified links between BPMN elements and implementation artefacts using a structured matrix. Comparative analysis evaluated findings against the literature to assess whether BPMN contributed to artefact quality in the ways the literature suggested it would.</w:t>
      </w:r>
    </w:p>
    <w:p>
      <w:pPr>
        <w:pStyle w:val="Heading2"/>
        <w:spacing w:after="80" w:before="240"/>
      </w:pPr>
      <w:r>
        <w:rPr>
          <w:rFonts w:ascii="Arial" w:cs="Arial" w:eastAsia="Arial" w:hAnsi="Arial"/>
          <w:b/>
          <w:bCs/>
          <w:sz w:val="24"/>
          <w:szCs w:val="24"/>
        </w:rPr>
        <w:t xml:space="preserve">4.3 Process Analysis and Artefact Derivation</w:t>
      </w:r>
    </w:p>
    <w:p>
      <w:pPr>
        <w:pStyle w:val="Heading3"/>
        <w:spacing w:after="60" w:before="200"/>
      </w:pPr>
      <w:r>
        <w:rPr>
          <w:rFonts w:ascii="Arial" w:cs="Arial" w:eastAsia="Arial" w:hAnsi="Arial"/>
          <w:b/>
          <w:bCs/>
          <w:sz w:val="22"/>
          <w:szCs w:val="22"/>
        </w:rPr>
        <w:t xml:space="preserve">4.3.1 User Authentication Process</w:t>
      </w:r>
    </w:p>
    <w:p>
      <w:pPr>
        <w:spacing w:after="120" w:before="80" w:line="276"/>
      </w:pPr>
      <w:r>
        <w:rPr>
          <w:rFonts w:ascii="Arial" w:cs="Arial" w:eastAsia="Arial" w:hAnsi="Arial"/>
          <w:sz w:val="22"/>
          <w:szCs w:val="22"/>
        </w:rPr>
        <w:t xml:space="preserve">The User Authentication Process models the complete login lifecycle in EduMetric CRM, from credential submission through JWT token issuance and role-based dashboard redirection, including failure handling and logout. From a software engineering perspective, this process is foundational because it establishes the security boundary for the entire system. Every other process in EduMetric CRM depends on the authentication state established here, making its correct specification particularly important.</w:t>
      </w:r>
    </w:p>
    <w:p>
      <w:pPr>
        <w:spacing w:after="120" w:before="80" w:line="276"/>
      </w:pPr>
      <w:r>
        <w:rPr>
          <w:rFonts w:ascii="Arial" w:cs="Arial" w:eastAsia="Arial" w:hAnsi="Arial"/>
          <w:sz w:val="22"/>
          <w:szCs w:val="22"/>
        </w:rPr>
        <w:t xml:space="preserve">BPMN revealed three engineering insights that would not have been immediately obvious from a textual requirement alone. First, the process exposed three distinct </w:t>
      </w:r>
      <w:r>
        <w:rPr>
          <w:rFonts w:ascii="Arial" w:cs="Arial" w:eastAsia="Arial" w:hAnsi="Arial"/>
          <w:b/>
          <w:bCs/>
          <w:sz w:val="22"/>
          <w:szCs w:val="22"/>
        </w:rPr>
        <w:t xml:space="preserve">participant lanes</w:t>
      </w:r>
      <w:r>
        <w:rPr>
          <w:rFonts w:ascii="Arial" w:cs="Arial" w:eastAsia="Arial" w:hAnsi="Arial"/>
          <w:sz w:val="22"/>
          <w:szCs w:val="22"/>
        </w:rPr>
        <w:t xml:space="preserve">: the user, the authentication system, and the role-routing component. This three-way responsibility clarified that JWT issuance and role-based redirection are separate system responsibilities, which informed the decomposition into an AuthService and a role-aware frontend router. Second, the gateway at credential validation made explicit that failed login must return a standardised error response rather than a generic server error, which directly produced the validation rule that POST /api/auth/login must return HTTP 401 with error code AUTH_INVALID_CREDENTIALS on failure. Third, the exception path for account deactivation — which is often omitted from textual requirements — was surfaced by the BPMN exception event, leading to the addition of an is_active flag on the users entity and a corresponding validation check.</w:t>
      </w:r>
    </w:p>
    <w:p>
      <w:pPr>
        <w:spacing w:after="120" w:before="80" w:line="276"/>
      </w:pPr>
      <w:r>
        <w:rPr>
          <w:rFonts w:ascii="Arial" w:cs="Arial" w:eastAsia="Arial" w:hAnsi="Arial"/>
          <w:sz w:val="22"/>
          <w:szCs w:val="22"/>
        </w:rPr>
        <w:t xml:space="preserve">The database artefacts derived from this process centred on the users table, requiring fields for id, email, password_hash, role, and is_active. No separate session table was required because the architecture uses stateless JWT authentication, a design decision that BPMN supported by making the absence of server-side session state explicit in the process flow. The API artefacts consisted of three endpoints: POST /api/auth/login for credential submission and token issuance, GET /api/auth/me for token validation and profile retrieval, and POST /api/auth/logout for client-side session termination.</w:t>
      </w:r>
    </w:p>
    <w:p>
      <w:pPr>
        <w:spacing w:after="60" w:before="60"/>
      </w:pPr>
    </w:p>
    <w:p>
      <w:pPr>
        <w:spacing w:after="120" w:before="40"/>
        <w:jc w:val="center"/>
      </w:pPr>
      <w:r>
        <w:rPr>
          <w:rFonts w:ascii="Arial" w:cs="Arial" w:eastAsia="Arial" w:hAnsi="Arial"/>
          <w:i/>
          <w:iCs/>
          <w:color w:val="555555"/>
          <w:sz w:val="18"/>
          <w:szCs w:val="18"/>
        </w:rPr>
        <w:t xml:space="preserve">Table 4.1 — Traceability Matrix: User Authentication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500"/>
        <w:gridCol w:w="1500"/>
        <w:gridCol w:w="1726"/>
        <w:gridCol w:w="60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BPMN Activity</w:t>
            </w:r>
          </w:p>
        </w:tc>
        <w:tc>
          <w:tcPr>
            <w:tcW w:type="dxa" w:w="20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Functional 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Architecture Module</w:t>
            </w:r>
          </w:p>
        </w:tc>
        <w:tc>
          <w:tcPr>
            <w:tcW w:type="dxa" w:w="15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Database Entity</w:t>
            </w:r>
          </w:p>
        </w:tc>
        <w:tc>
          <w:tcPr>
            <w:tcW w:type="dxa" w:w="1726"/>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API Endpoint</w:t>
            </w:r>
          </w:p>
        </w:tc>
        <w:tc>
          <w:tcPr>
            <w:tcW w:type="dxa" w:w="6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r>
      <w:tr>
        <w:tc>
          <w:tcPr>
            <w:tcW w:type="dxa" w:w="17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User submits login credentials</w:t>
            </w:r>
          </w:p>
        </w:tc>
        <w:tc>
          <w:tcPr>
            <w:tcW w:type="dxa" w:w="20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must accept email and password input</w:t>
            </w:r>
          </w:p>
        </w:tc>
        <w:tc>
          <w:tcPr>
            <w:tcW w:type="dxa" w:w="15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Auth Module</w:t>
            </w:r>
          </w:p>
        </w:tc>
        <w:tc>
          <w:tcPr>
            <w:tcW w:type="dxa" w:w="15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users (email, password_hash)</w:t>
            </w:r>
          </w:p>
        </w:tc>
        <w:tc>
          <w:tcPr>
            <w:tcW w:type="dxa" w:w="1726"/>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POST /api/auth/login</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validates credentials</w:t>
            </w:r>
          </w:p>
        </w:tc>
        <w:tc>
          <w:tcPr>
            <w:tcW w:type="dxa" w:w="20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must verify hashed password; reject inactive accounts</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Auth Module → Security Layer</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users (password_hash, is_active)</w:t>
            </w:r>
          </w:p>
        </w:tc>
        <w:tc>
          <w:tcPr>
            <w:tcW w:type="dxa" w:w="1726"/>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POST /api/auth/login</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generates JWT token</w:t>
            </w:r>
          </w:p>
        </w:tc>
        <w:tc>
          <w:tcPr>
            <w:tcW w:type="dxa" w:w="20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must issue role-encoded JWT on successful login</w:t>
            </w:r>
          </w:p>
        </w:tc>
        <w:tc>
          <w:tcPr>
            <w:tcW w:type="dxa" w:w="15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Auth Module → JWT Service</w:t>
            </w:r>
          </w:p>
        </w:tc>
        <w:tc>
          <w:tcPr>
            <w:tcW w:type="dxa" w:w="15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users (id, role) → token payload</w:t>
            </w:r>
          </w:p>
        </w:tc>
        <w:tc>
          <w:tcPr>
            <w:tcW w:type="dxa" w:w="1726"/>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POST /api/auth/login</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redirects by role</w:t>
            </w:r>
          </w:p>
        </w:tc>
        <w:tc>
          <w:tcPr>
            <w:tcW w:type="dxa" w:w="20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Route user to role-appropriate dashboard on login</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Auth Module → Frontend Router</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users (role)</w:t>
            </w:r>
          </w:p>
        </w:tc>
        <w:tc>
          <w:tcPr>
            <w:tcW w:type="dxa" w:w="1726"/>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GET /api/auth/me</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Authentication failure handling</w:t>
            </w:r>
          </w:p>
        </w:tc>
        <w:tc>
          <w:tcPr>
            <w:tcW w:type="dxa" w:w="20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Return standardised 401 error on failed login</w:t>
            </w:r>
          </w:p>
        </w:tc>
        <w:tc>
          <w:tcPr>
            <w:tcW w:type="dxa" w:w="15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Auth Module</w:t>
            </w:r>
          </w:p>
        </w:tc>
        <w:tc>
          <w:tcPr>
            <w:tcW w:type="dxa" w:w="15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 (no write)</w:t>
            </w:r>
          </w:p>
        </w:tc>
        <w:tc>
          <w:tcPr>
            <w:tcW w:type="dxa" w:w="1726"/>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POST /api/auth/login</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User logout</w:t>
            </w:r>
          </w:p>
        </w:tc>
        <w:tc>
          <w:tcPr>
            <w:tcW w:type="dxa" w:w="20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Invalidate session; reject subsequent requests with same token</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Auth Module</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 (client-side clear)</w:t>
            </w:r>
          </w:p>
        </w:tc>
        <w:tc>
          <w:tcPr>
            <w:tcW w:type="dxa" w:w="1726"/>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POST /api/auth/logout</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bl>
    <w:p>
      <w:pPr>
        <w:spacing w:after="60" w:before="60"/>
      </w:pPr>
    </w:p>
    <w:p>
      <w:pPr>
        <w:pStyle w:val="Heading3"/>
        <w:spacing w:after="60" w:before="200"/>
      </w:pPr>
      <w:r>
        <w:rPr>
          <w:rFonts w:ascii="Arial" w:cs="Arial" w:eastAsia="Arial" w:hAnsi="Arial"/>
          <w:b/>
          <w:bCs/>
          <w:sz w:val="22"/>
          <w:szCs w:val="22"/>
        </w:rPr>
        <w:t xml:space="preserve">4.3.2 Attendance Management Process</w:t>
      </w:r>
    </w:p>
    <w:p>
      <w:pPr>
        <w:spacing w:after="120" w:before="80" w:line="276"/>
      </w:pPr>
      <w:r>
        <w:rPr>
          <w:rFonts w:ascii="Arial" w:cs="Arial" w:eastAsia="Arial" w:hAnsi="Arial"/>
          <w:sz w:val="22"/>
          <w:szCs w:val="22"/>
        </w:rPr>
        <w:t xml:space="preserve">The Attendance Management Process models the high-frequency workflow by which teachers record student presence or absence for a given lesson. In EduMetric CRM, attendance is one of the six dimensions contributing to the composite score, and it is also the most frequently executed transactional operation in the system. The engineering significance of this process therefore extends beyond simple data entry: each attendance record triggers a synchronous recalculation of student_metrics, which means the process design directly influences both write performance and analytical consistency.</w:t>
      </w:r>
    </w:p>
    <w:p>
      <w:pPr>
        <w:spacing w:after="120" w:before="80" w:line="276"/>
      </w:pPr>
      <w:r>
        <w:rPr>
          <w:rFonts w:ascii="Arial" w:cs="Arial" w:eastAsia="Arial" w:hAnsi="Arial"/>
          <w:sz w:val="22"/>
          <w:szCs w:val="22"/>
        </w:rPr>
        <w:t xml:space="preserve">The most significant engineering insight produced by this BPMN process was the </w:t>
      </w:r>
      <w:r>
        <w:rPr>
          <w:rFonts w:ascii="Arial" w:cs="Arial" w:eastAsia="Arial" w:hAnsi="Arial"/>
          <w:b/>
          <w:bCs/>
          <w:sz w:val="22"/>
          <w:szCs w:val="22"/>
        </w:rPr>
        <w:t xml:space="preserve">metrics recalculation trigger</w:t>
      </w:r>
      <w:r>
        <w:rPr>
          <w:rFonts w:ascii="Arial" w:cs="Arial" w:eastAsia="Arial" w:hAnsi="Arial"/>
          <w:sz w:val="22"/>
          <w:szCs w:val="22"/>
        </w:rPr>
        <w:t xml:space="preserve">. In a textual requirements document, attendance recording and metric updating might be described as two separate requirements with no explicit dependency. The BPMN model, however, made the causal relationship explicit through a subsequent task: after attendance is saved, the system automatically triggers metric recompute. This single modelling decision had three engineering consequences. First, it established that metric recomputation must be synchronous within the same request cycle, rather than deferred to a batch job, because the teacher dashboard must reflect current analytics immediately after marking. Second, it justified the creation of the student_metrics cache table as a denormalised read model, separating analytical reads from transactional writes to avoid performance contention. Third, it identified that the attendance POST endpoint must internally invoke the Metrics Engine service, establishing a clear service dependency in the architecture.</w:t>
      </w:r>
    </w:p>
    <w:p>
      <w:pPr>
        <w:spacing w:after="120" w:before="80" w:line="276"/>
      </w:pPr>
      <w:r>
        <w:rPr>
          <w:rFonts w:ascii="Arial" w:cs="Arial" w:eastAsia="Arial" w:hAnsi="Arial"/>
          <w:sz w:val="22"/>
          <w:szCs w:val="22"/>
        </w:rPr>
        <w:t xml:space="preserve">The process also surfaced a uniqueness constraint that was not articulated in the original requirements: a teacher must not be able to submit duplicate attendance for the same student in the same lesson. The BPMN validation gateway made this explicit, leading to a unique constraint on (lesson_id, student_id) in the attendance table and a 409 Conflict response from the API when a duplicate is attempted.</w:t>
      </w:r>
    </w:p>
    <w:p>
      <w:pPr>
        <w:spacing w:after="60" w:before="60"/>
      </w:pPr>
    </w:p>
    <w:p>
      <w:pPr>
        <w:spacing w:after="120" w:before="40"/>
        <w:jc w:val="center"/>
      </w:pPr>
      <w:r>
        <w:rPr>
          <w:rFonts w:ascii="Arial" w:cs="Arial" w:eastAsia="Arial" w:hAnsi="Arial"/>
          <w:i/>
          <w:iCs/>
          <w:color w:val="555555"/>
          <w:sz w:val="18"/>
          <w:szCs w:val="18"/>
        </w:rPr>
        <w:t xml:space="preserve">Table 4.2 — Traceability Matrix: Attendance Management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500"/>
        <w:gridCol w:w="1500"/>
        <w:gridCol w:w="1726"/>
        <w:gridCol w:w="60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BPMN Activity</w:t>
            </w:r>
          </w:p>
        </w:tc>
        <w:tc>
          <w:tcPr>
            <w:tcW w:type="dxa" w:w="20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Functional 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Architecture Module</w:t>
            </w:r>
          </w:p>
        </w:tc>
        <w:tc>
          <w:tcPr>
            <w:tcW w:type="dxa" w:w="15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Database Entity</w:t>
            </w:r>
          </w:p>
        </w:tc>
        <w:tc>
          <w:tcPr>
            <w:tcW w:type="dxa" w:w="1726"/>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API Endpoint</w:t>
            </w:r>
          </w:p>
        </w:tc>
        <w:tc>
          <w:tcPr>
            <w:tcW w:type="dxa" w:w="6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r>
      <w:tr>
        <w:tc>
          <w:tcPr>
            <w:tcW w:type="dxa" w:w="17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Teacher selects lesson</w:t>
            </w:r>
          </w:p>
        </w:tc>
        <w:tc>
          <w:tcPr>
            <w:tcW w:type="dxa" w:w="20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Allow teacher to select a lesson from their assigned schedule</w:t>
            </w:r>
          </w:p>
        </w:tc>
        <w:tc>
          <w:tcPr>
            <w:tcW w:type="dxa" w:w="15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Attendance Module → Lesson Service</w:t>
            </w:r>
          </w:p>
        </w:tc>
        <w:tc>
          <w:tcPr>
            <w:tcW w:type="dxa" w:w="15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lessons (id, teacher_id, date)</w:t>
            </w:r>
          </w:p>
        </w:tc>
        <w:tc>
          <w:tcPr>
            <w:tcW w:type="dxa" w:w="1726"/>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GET /api/lessons?teacherId={id}</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loads student list</w:t>
            </w:r>
          </w:p>
        </w:tc>
        <w:tc>
          <w:tcPr>
            <w:tcW w:type="dxa" w:w="20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Retrieve enrolled students for the selected lesson group</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Attendance Module → Group Service</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groups (id), students (id, group_id)</w:t>
            </w:r>
          </w:p>
        </w:tc>
        <w:tc>
          <w:tcPr>
            <w:tcW w:type="dxa" w:w="1726"/>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GET /api/lessons/{id}/students</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Teacher marks attendance exceptions</w:t>
            </w:r>
          </w:p>
        </w:tc>
        <w:tc>
          <w:tcPr>
            <w:tcW w:type="dxa" w:w="20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Allow teacher to mark each student as PRESENT, ABSENT, or LATE</w:t>
            </w:r>
          </w:p>
        </w:tc>
        <w:tc>
          <w:tcPr>
            <w:tcW w:type="dxa" w:w="15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Attendance Module</w:t>
            </w:r>
          </w:p>
        </w:tc>
        <w:tc>
          <w:tcPr>
            <w:tcW w:type="dxa" w:w="15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attendance (lesson_id, student_id, status, marked_by)</w:t>
            </w:r>
          </w:p>
        </w:tc>
        <w:tc>
          <w:tcPr>
            <w:tcW w:type="dxa" w:w="1726"/>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POST /api/attendance</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validates and saves attendance</w:t>
            </w:r>
          </w:p>
        </w:tc>
        <w:tc>
          <w:tcPr>
            <w:tcW w:type="dxa" w:w="20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Persist records; prevent duplicate entries per lesson-student pair</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Attendance Module → Repository</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attendance — unique(lesson_id, student_id)</w:t>
            </w:r>
          </w:p>
        </w:tc>
        <w:tc>
          <w:tcPr>
            <w:tcW w:type="dxa" w:w="1726"/>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POST /api/attendance</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triggers metric recalculation</w:t>
            </w:r>
          </w:p>
        </w:tc>
        <w:tc>
          <w:tcPr>
            <w:tcW w:type="dxa" w:w="20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Recalculate attendance dimension score in student_metrics after save</w:t>
            </w:r>
          </w:p>
        </w:tc>
        <w:tc>
          <w:tcPr>
            <w:tcW w:type="dxa" w:w="15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Attendance Module → Metrics Engine</w:t>
            </w:r>
          </w:p>
        </w:tc>
        <w:tc>
          <w:tcPr>
            <w:tcW w:type="dxa" w:w="15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student_metrics (attendance_score, last_updated)</w:t>
            </w:r>
          </w:p>
        </w:tc>
        <w:tc>
          <w:tcPr>
            <w:tcW w:type="dxa" w:w="1726"/>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Internal — synchronous call</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bl>
    <w:p>
      <w:pPr>
        <w:spacing w:after="60" w:before="60"/>
      </w:pPr>
    </w:p>
    <w:p>
      <w:pPr>
        <w:pStyle w:val="Heading3"/>
        <w:spacing w:after="60" w:before="200"/>
      </w:pPr>
      <w:r>
        <w:rPr>
          <w:rFonts w:ascii="Arial" w:cs="Arial" w:eastAsia="Arial" w:hAnsi="Arial"/>
          <w:b/>
          <w:bCs/>
          <w:sz w:val="22"/>
          <w:szCs w:val="22"/>
        </w:rPr>
        <w:t xml:space="preserve">4.3.3 Student Evaluation Process</w:t>
      </w:r>
    </w:p>
    <w:p>
      <w:pPr>
        <w:spacing w:after="120" w:before="80" w:line="276"/>
      </w:pPr>
      <w:r>
        <w:rPr>
          <w:rFonts w:ascii="Arial" w:cs="Arial" w:eastAsia="Arial" w:hAnsi="Arial"/>
          <w:sz w:val="22"/>
          <w:szCs w:val="22"/>
        </w:rPr>
        <w:t xml:space="preserve">The Student Evaluation Process models the workflow through which teachers record the four assessed dimensions that, together with attendance, constitute the composite score: grades, behaviour, practical work, and activity. Each dimension is recorded independently through a separate input path in the BPMN model, but all paths converge at a shared validation gateway before triggering the composite score recomputation. This convergence pattern had a direct architectural consequence: rather than creating four separate validation services, the BPMN model justified a single shared Validation Service within the Evaluation Module that applies consistent rules across all input types.</w:t>
      </w:r>
    </w:p>
    <w:p>
      <w:pPr>
        <w:spacing w:after="120" w:before="80" w:line="276"/>
      </w:pPr>
      <w:r>
        <w:rPr>
          <w:rFonts w:ascii="Arial" w:cs="Arial" w:eastAsia="Arial" w:hAnsi="Arial"/>
          <w:sz w:val="22"/>
          <w:szCs w:val="22"/>
        </w:rPr>
        <w:t xml:space="preserve">An important engineering insight from this process was the relationship between </w:t>
      </w:r>
      <w:r>
        <w:rPr>
          <w:rFonts w:ascii="Arial" w:cs="Arial" w:eastAsia="Arial" w:hAnsi="Arial"/>
          <w:b/>
          <w:bCs/>
          <w:sz w:val="22"/>
          <w:szCs w:val="22"/>
        </w:rPr>
        <w:t xml:space="preserve">input diversity and database design</w:t>
      </w:r>
      <w:r>
        <w:rPr>
          <w:rFonts w:ascii="Arial" w:cs="Arial" w:eastAsia="Arial" w:hAnsi="Arial"/>
          <w:sz w:val="22"/>
          <w:szCs w:val="22"/>
        </w:rPr>
        <w:t xml:space="preserve">. Because each dimension has a different data shape — grades carry a numeric value and weight, behaviour records carry a score and optional note, activity records carry a type enum and score — the BPMN model supported the decision to use separate tables (grades, behaviour_records, activity_records) rather than a single polymorphic evaluation table. This separation preserves data integrity through targeted constraints on each table and makes the scoring formula explicitly traceable: each table feeds a specific dimension in student_metrics, and the formula_config table stores the weights applied to each dimension. A single polymorphic table would have obscured these relationships and made formula transparency harder to achieve.</w:t>
      </w:r>
    </w:p>
    <w:p>
      <w:pPr>
        <w:spacing w:after="120" w:before="80" w:line="276"/>
      </w:pPr>
      <w:r>
        <w:rPr>
          <w:rFonts w:ascii="Arial" w:cs="Arial" w:eastAsia="Arial" w:hAnsi="Arial"/>
          <w:sz w:val="22"/>
          <w:szCs w:val="22"/>
        </w:rPr>
        <w:t xml:space="preserve">The BPMN gateway at score calculation trigger also produced a key architectural decision: metric recomputation is performed synchronously after any evaluation record is saved, and the result is written to the student_metrics cache immediately. This ensures that a teacher viewing a student profile after submitting a grade sees the updated composite score without refreshing, which aligns with the system's requirement for transparent, real-time growth tracking.</w:t>
      </w:r>
    </w:p>
    <w:p>
      <w:pPr>
        <w:spacing w:after="60" w:before="60"/>
      </w:pPr>
    </w:p>
    <w:p>
      <w:pPr>
        <w:spacing w:after="120" w:before="40"/>
        <w:jc w:val="center"/>
      </w:pPr>
      <w:r>
        <w:rPr>
          <w:rFonts w:ascii="Arial" w:cs="Arial" w:eastAsia="Arial" w:hAnsi="Arial"/>
          <w:i/>
          <w:iCs/>
          <w:color w:val="555555"/>
          <w:sz w:val="18"/>
          <w:szCs w:val="18"/>
        </w:rPr>
        <w:t xml:space="preserve">Table 4.3 — Traceability Matrix: Student Evaluation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500"/>
        <w:gridCol w:w="1500"/>
        <w:gridCol w:w="1726"/>
        <w:gridCol w:w="60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BPMN Activity</w:t>
            </w:r>
          </w:p>
        </w:tc>
        <w:tc>
          <w:tcPr>
            <w:tcW w:type="dxa" w:w="20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Functional 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Architecture Module</w:t>
            </w:r>
          </w:p>
        </w:tc>
        <w:tc>
          <w:tcPr>
            <w:tcW w:type="dxa" w:w="15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Database Entity</w:t>
            </w:r>
          </w:p>
        </w:tc>
        <w:tc>
          <w:tcPr>
            <w:tcW w:type="dxa" w:w="1726"/>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API Endpoint</w:t>
            </w:r>
          </w:p>
        </w:tc>
        <w:tc>
          <w:tcPr>
            <w:tcW w:type="dxa" w:w="6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r>
      <w:tr>
        <w:tc>
          <w:tcPr>
            <w:tcW w:type="dxa" w:w="17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Teacher submits grade</w:t>
            </w:r>
          </w:p>
        </w:tc>
        <w:tc>
          <w:tcPr>
            <w:tcW w:type="dxa" w:w="20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Record numeric grade with weight per student per course</w:t>
            </w:r>
          </w:p>
        </w:tc>
        <w:tc>
          <w:tcPr>
            <w:tcW w:type="dxa" w:w="15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Evaluation Module → Grade Service</w:t>
            </w:r>
          </w:p>
        </w:tc>
        <w:tc>
          <w:tcPr>
            <w:tcW w:type="dxa" w:w="15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grades (student_id, course_id, value, weight)</w:t>
            </w:r>
          </w:p>
        </w:tc>
        <w:tc>
          <w:tcPr>
            <w:tcW w:type="dxa" w:w="1726"/>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POST /api/grades</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Teacher submits behaviour record</w:t>
            </w:r>
          </w:p>
        </w:tc>
        <w:tc>
          <w:tcPr>
            <w:tcW w:type="dxa" w:w="20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Record behaviour observation score with optional note</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Evaluation Module → Behaviour Service</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behaviour_records (student_id, score, note)</w:t>
            </w:r>
          </w:p>
        </w:tc>
        <w:tc>
          <w:tcPr>
            <w:tcW w:type="dxa" w:w="1726"/>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POST /api/behaviour</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Teacher records activity participation</w:t>
            </w:r>
          </w:p>
        </w:tc>
        <w:tc>
          <w:tcPr>
            <w:tcW w:type="dxa" w:w="20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Log student activity type and score</w:t>
            </w:r>
          </w:p>
        </w:tc>
        <w:tc>
          <w:tcPr>
            <w:tcW w:type="dxa" w:w="15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Evaluation Module → Activity Service</w:t>
            </w:r>
          </w:p>
        </w:tc>
        <w:tc>
          <w:tcPr>
            <w:tcW w:type="dxa" w:w="15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activity_records (student_id, type, score)</w:t>
            </w:r>
          </w:p>
        </w:tc>
        <w:tc>
          <w:tcPr>
            <w:tcW w:type="dxa" w:w="1726"/>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POST /api/activity</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validates all inputs</w:t>
            </w:r>
          </w:p>
        </w:tc>
        <w:tc>
          <w:tcPr>
            <w:tcW w:type="dxa" w:w="20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Apply field-level validation before persisting any record</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Evaluation Module → Validation Service</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grades, behaviour_records, activity_records</w:t>
            </w:r>
          </w:p>
        </w:tc>
        <w:tc>
          <w:tcPr>
            <w:tcW w:type="dxa" w:w="1726"/>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POST /api/grades, /behaviour, /activity</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triggers composite score recompute</w:t>
            </w:r>
          </w:p>
        </w:tc>
        <w:tc>
          <w:tcPr>
            <w:tcW w:type="dxa" w:w="20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Recalculate composite score using formula_config weights after each save</w:t>
            </w:r>
          </w:p>
        </w:tc>
        <w:tc>
          <w:tcPr>
            <w:tcW w:type="dxa" w:w="15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Evaluation Module → Metrics Engine</w:t>
            </w:r>
          </w:p>
        </w:tc>
        <w:tc>
          <w:tcPr>
            <w:tcW w:type="dxa" w:w="15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student_metrics (composite_score), formula_config (weights)</w:t>
            </w:r>
          </w:p>
        </w:tc>
        <w:tc>
          <w:tcPr>
            <w:tcW w:type="dxa" w:w="1726"/>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Internal — synchronous call</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bl>
    <w:p>
      <w:pPr>
        <w:spacing w:after="60" w:before="60"/>
      </w:pPr>
    </w:p>
    <w:p>
      <w:pPr>
        <w:pStyle w:val="Heading3"/>
        <w:spacing w:after="60" w:before="200"/>
      </w:pPr>
      <w:r>
        <w:rPr>
          <w:rFonts w:ascii="Arial" w:cs="Arial" w:eastAsia="Arial" w:hAnsi="Arial"/>
          <w:b/>
          <w:bCs/>
          <w:sz w:val="22"/>
          <w:szCs w:val="22"/>
        </w:rPr>
        <w:t xml:space="preserve">4.3.4 Student Analytics Generation Process</w:t>
      </w:r>
    </w:p>
    <w:p>
      <w:pPr>
        <w:spacing w:after="120" w:before="80" w:line="276"/>
      </w:pPr>
      <w:r>
        <w:rPr>
          <w:rFonts w:ascii="Arial" w:cs="Arial" w:eastAsia="Arial" w:hAnsi="Arial"/>
          <w:sz w:val="22"/>
          <w:szCs w:val="22"/>
        </w:rPr>
        <w:t xml:space="preserve">The Student Analytics Generation Process models the read-side workflow that transforms stored operational data into analytical outputs: composite score, radar profile, growth trend, and at-risk status. Unlike the previous three processes, which are transactional and write-oriented, this process is primarily read-oriented and involves the aggregation of data from multiple sources. Its engineering significance lies in the separation it establishes between the operational data layer and the analytical presentation layer.</w:t>
      </w:r>
    </w:p>
    <w:p>
      <w:pPr>
        <w:spacing w:after="120" w:before="80" w:line="276"/>
      </w:pPr>
      <w:r>
        <w:rPr>
          <w:rFonts w:ascii="Arial" w:cs="Arial" w:eastAsia="Arial" w:hAnsi="Arial"/>
          <w:sz w:val="22"/>
          <w:szCs w:val="22"/>
        </w:rPr>
        <w:t xml:space="preserve">BPMN made visible a design challenge that is common in analytics systems: the tension between </w:t>
      </w:r>
      <w:r>
        <w:rPr>
          <w:rFonts w:ascii="Arial" w:cs="Arial" w:eastAsia="Arial" w:hAnsi="Arial"/>
          <w:b/>
          <w:bCs/>
          <w:sz w:val="22"/>
          <w:szCs w:val="22"/>
        </w:rPr>
        <w:t xml:space="preserve">query freshness and response performance</w:t>
      </w:r>
      <w:r>
        <w:rPr>
          <w:rFonts w:ascii="Arial" w:cs="Arial" w:eastAsia="Arial" w:hAnsi="Arial"/>
          <w:sz w:val="22"/>
          <w:szCs w:val="22"/>
        </w:rPr>
        <w:t xml:space="preserve">. The process model showed that the dashboard must simultaneously present the composite score, all six dimension scores, a radar profile, and a growth trend chart. If each of these were derived from raw operational tables on every request, dashboard load times would be unacceptable for a system accessed by multiple teachers simultaneously. The BPMN model therefore directly justified two distinct database structures: the student_metrics table as a denormalised cache for current dimension scores and composite score, supporting fast single-row reads; and the metric_snapshots table for historical trend data, storing periodic snapshots of the composite score and dimension scores to support growth trend visualisation without scanning the full grades and attendance history.</w:t>
      </w:r>
    </w:p>
    <w:p>
      <w:pPr>
        <w:spacing w:after="120" w:before="80" w:line="276"/>
      </w:pPr>
      <w:r>
        <w:rPr>
          <w:rFonts w:ascii="Arial" w:cs="Arial" w:eastAsia="Arial" w:hAnsi="Arial"/>
          <w:sz w:val="22"/>
          <w:szCs w:val="22"/>
        </w:rPr>
        <w:t xml:space="preserve">The BPMN process also clarified the API design for this domain. Because the dashboard consumer (the frontend) requires all analytical outputs in a single page load, the process model supported the design of a composite GET /api/dashboard/student/{id} endpoint that aggregates data from student_metrics, metric_snapshots, and the risk evaluation result. This avoided a chatty frontend that would otherwise need to make four separate API calls per page load, improving both performance and consistency.</w:t>
      </w:r>
    </w:p>
    <w:p>
      <w:pPr>
        <w:spacing w:after="60" w:before="60"/>
      </w:pPr>
    </w:p>
    <w:p>
      <w:pPr>
        <w:spacing w:after="120" w:before="40"/>
        <w:jc w:val="center"/>
      </w:pPr>
      <w:r>
        <w:rPr>
          <w:rFonts w:ascii="Arial" w:cs="Arial" w:eastAsia="Arial" w:hAnsi="Arial"/>
          <w:i/>
          <w:iCs/>
          <w:color w:val="555555"/>
          <w:sz w:val="18"/>
          <w:szCs w:val="18"/>
        </w:rPr>
        <w:t xml:space="preserve">Table 4.4 — Traceability Matrix: Student Analytics Generation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500"/>
        <w:gridCol w:w="1500"/>
        <w:gridCol w:w="1726"/>
        <w:gridCol w:w="60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BPMN Activity</w:t>
            </w:r>
          </w:p>
        </w:tc>
        <w:tc>
          <w:tcPr>
            <w:tcW w:type="dxa" w:w="20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Functional 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Architecture Module</w:t>
            </w:r>
          </w:p>
        </w:tc>
        <w:tc>
          <w:tcPr>
            <w:tcW w:type="dxa" w:w="15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Database Entity</w:t>
            </w:r>
          </w:p>
        </w:tc>
        <w:tc>
          <w:tcPr>
            <w:tcW w:type="dxa" w:w="1726"/>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API Endpoint</w:t>
            </w:r>
          </w:p>
        </w:tc>
        <w:tc>
          <w:tcPr>
            <w:tcW w:type="dxa" w:w="6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r>
      <w:tr>
        <w:tc>
          <w:tcPr>
            <w:tcW w:type="dxa" w:w="17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retrieves cached metrics</w:t>
            </w:r>
          </w:p>
        </w:tc>
        <w:tc>
          <w:tcPr>
            <w:tcW w:type="dxa" w:w="20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Read current dimension scores from student_metrics cache</w:t>
            </w:r>
          </w:p>
        </w:tc>
        <w:tc>
          <w:tcPr>
            <w:tcW w:type="dxa" w:w="15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Analytics Module → Metrics Engine</w:t>
            </w:r>
          </w:p>
        </w:tc>
        <w:tc>
          <w:tcPr>
            <w:tcW w:type="dxa" w:w="15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student_metrics (all dimension scores, composite_score)</w:t>
            </w:r>
          </w:p>
        </w:tc>
        <w:tc>
          <w:tcPr>
            <w:tcW w:type="dxa" w:w="1726"/>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GET /api/metrics/student/{id}</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retrieves growth snapshots</w:t>
            </w:r>
          </w:p>
        </w:tc>
        <w:tc>
          <w:tcPr>
            <w:tcW w:type="dxa" w:w="20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Return historical metric snapshots ordered by date for trend view</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Analytics Module</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metric_snapshots (student_id, snapshot_date, composite_score)</w:t>
            </w:r>
          </w:p>
        </w:tc>
        <w:tc>
          <w:tcPr>
            <w:tcW w:type="dxa" w:w="1726"/>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GET /api/analytics/student/{id}/trend</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generates radar profile</w:t>
            </w:r>
          </w:p>
        </w:tc>
        <w:tc>
          <w:tcPr>
            <w:tcW w:type="dxa" w:w="20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Compute six-dimension radar chart data from current scores</w:t>
            </w:r>
          </w:p>
        </w:tc>
        <w:tc>
          <w:tcPr>
            <w:tcW w:type="dxa" w:w="15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Analytics Module → Dashboard Service</w:t>
            </w:r>
          </w:p>
        </w:tc>
        <w:tc>
          <w:tcPr>
            <w:tcW w:type="dxa" w:w="15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student_metrics (all six dimension scores)</w:t>
            </w:r>
          </w:p>
        </w:tc>
        <w:tc>
          <w:tcPr>
            <w:tcW w:type="dxa" w:w="1726"/>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GET /api/analytics/student/{id}/radar</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composes dashboard payload</w:t>
            </w:r>
          </w:p>
        </w:tc>
        <w:tc>
          <w:tcPr>
            <w:tcW w:type="dxa" w:w="20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Aggregate composite score, radar, trend, and risk into single response</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Analytics Module → Dashboard Service</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student_metrics + metric_snapshots + alert_records</w:t>
            </w:r>
          </w:p>
        </w:tc>
        <w:tc>
          <w:tcPr>
            <w:tcW w:type="dxa" w:w="1726"/>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GET /api/dashboard/student/{id}</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bl>
    <w:p>
      <w:pPr>
        <w:spacing w:after="60" w:before="60"/>
      </w:pPr>
    </w:p>
    <w:p>
      <w:pPr>
        <w:pStyle w:val="Heading3"/>
        <w:spacing w:after="60" w:before="200"/>
      </w:pPr>
      <w:r>
        <w:rPr>
          <w:rFonts w:ascii="Arial" w:cs="Arial" w:eastAsia="Arial" w:hAnsi="Arial"/>
          <w:b/>
          <w:bCs/>
          <w:sz w:val="22"/>
          <w:szCs w:val="22"/>
        </w:rPr>
        <w:t xml:space="preserve">4.3.5 At-Risk Student Detection Process</w:t>
      </w:r>
    </w:p>
    <w:p>
      <w:pPr>
        <w:spacing w:after="120" w:before="80" w:line="276"/>
      </w:pPr>
      <w:r>
        <w:rPr>
          <w:rFonts w:ascii="Arial" w:cs="Arial" w:eastAsia="Arial" w:hAnsi="Arial"/>
          <w:sz w:val="22"/>
          <w:szCs w:val="22"/>
        </w:rPr>
        <w:t xml:space="preserve">The At-Risk Student Detection Process models the exception-driven analytical workflow by which the system identifies students whose academic trajectory meets configurable risk criteria and surfaces alerts to teachers and administrators. This process is analytically complex because it involves two independent evaluation paths: threshold comparison of the current composite score against a configurable risk_threshold stored in formula_config, and trend analysis of metric_snapshots to detect a sustained downward trajectory. Both paths are represented as separate BPMN gateways, and their outputs converge at a risk classification task that assigns a risk level of LOW, MEDIUM, or HIGH.</w:t>
      </w:r>
    </w:p>
    <w:p>
      <w:pPr>
        <w:spacing w:after="120" w:before="80" w:line="276"/>
      </w:pPr>
      <w:r>
        <w:rPr>
          <w:rFonts w:ascii="Arial" w:cs="Arial" w:eastAsia="Arial" w:hAnsi="Arial"/>
          <w:sz w:val="22"/>
          <w:szCs w:val="22"/>
        </w:rPr>
        <w:t xml:space="preserve">The most consequential engineering insight from this process was the </w:t>
      </w:r>
      <w:r>
        <w:rPr>
          <w:rFonts w:ascii="Arial" w:cs="Arial" w:eastAsia="Arial" w:hAnsi="Arial"/>
          <w:b/>
          <w:bCs/>
          <w:sz w:val="22"/>
          <w:szCs w:val="22"/>
        </w:rPr>
        <w:t xml:space="preserve">configurability requirement</w:t>
      </w:r>
      <w:r>
        <w:rPr>
          <w:rFonts w:ascii="Arial" w:cs="Arial" w:eastAsia="Arial" w:hAnsi="Arial"/>
          <w:sz w:val="22"/>
          <w:szCs w:val="22"/>
        </w:rPr>
        <w:t xml:space="preserve">. A textual requirement might state: 'the system should flag at-risk students'. The BPMN model, however, made explicit that the threshold value is an input to the process, not a hardcoded rule. This produced the formula_config table, which stores not only dimension weights for composite score calculation but also the risk_threshold value that governs at-risk detection. The admin can therefore adjust both the scoring formula and the risk threshold through the same configuration interface, without requiring a code change. This traceability from BPMN gateway condition to database configuration table to admin API endpoint (POST /api/admin/config) represents one of the clearest examples in this project of how BPMN made an otherwise implicit requirement explicit and implementable.</w:t>
      </w:r>
    </w:p>
    <w:p>
      <w:pPr>
        <w:spacing w:after="120" w:before="80" w:line="276"/>
      </w:pPr>
      <w:r>
        <w:rPr>
          <w:rFonts w:ascii="Arial" w:cs="Arial" w:eastAsia="Arial" w:hAnsi="Arial"/>
          <w:sz w:val="22"/>
          <w:szCs w:val="22"/>
        </w:rPr>
        <w:t xml:space="preserve">The notification path in the BPMN model also produced the alert_records table, which stores per-student risk alerts with an acknowledged flag. This flag supports the teacher dashboard requirement that unacknowledged alerts should be surfaced prominently, which could not have been derived from a process description that simply stated 'notify the teacher'.</w:t>
      </w:r>
    </w:p>
    <w:p>
      <w:pPr>
        <w:spacing w:after="60" w:before="60"/>
      </w:pPr>
    </w:p>
    <w:p>
      <w:pPr>
        <w:spacing w:after="120" w:before="40"/>
        <w:jc w:val="center"/>
      </w:pPr>
      <w:r>
        <w:rPr>
          <w:rFonts w:ascii="Arial" w:cs="Arial" w:eastAsia="Arial" w:hAnsi="Arial"/>
          <w:i/>
          <w:iCs/>
          <w:color w:val="555555"/>
          <w:sz w:val="18"/>
          <w:szCs w:val="18"/>
        </w:rPr>
        <w:t xml:space="preserve">Table 4.5 — Traceability Matrix: At-Risk Student Detection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500"/>
        <w:gridCol w:w="1500"/>
        <w:gridCol w:w="1726"/>
        <w:gridCol w:w="60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BPMN Activity</w:t>
            </w:r>
          </w:p>
        </w:tc>
        <w:tc>
          <w:tcPr>
            <w:tcW w:type="dxa" w:w="20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Functional 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Architecture Module</w:t>
            </w:r>
          </w:p>
        </w:tc>
        <w:tc>
          <w:tcPr>
            <w:tcW w:type="dxa" w:w="15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Database Entity</w:t>
            </w:r>
          </w:p>
        </w:tc>
        <w:tc>
          <w:tcPr>
            <w:tcW w:type="dxa" w:w="1726"/>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API Endpoint</w:t>
            </w:r>
          </w:p>
        </w:tc>
        <w:tc>
          <w:tcPr>
            <w:tcW w:type="dxa" w:w="6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r>
      <w:tr>
        <w:tc>
          <w:tcPr>
            <w:tcW w:type="dxa" w:w="17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evaluates metric thresholds</w:t>
            </w:r>
          </w:p>
        </w:tc>
        <w:tc>
          <w:tcPr>
            <w:tcW w:type="dxa" w:w="20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Compare composite score against configurable risk_threshold</w:t>
            </w:r>
          </w:p>
        </w:tc>
        <w:tc>
          <w:tcPr>
            <w:tcW w:type="dxa" w:w="15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Risk Management Module → Risk Analysis Service</w:t>
            </w:r>
          </w:p>
        </w:tc>
        <w:tc>
          <w:tcPr>
            <w:tcW w:type="dxa" w:w="15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student_metrics (composite_score), formula_config (risk_threshold)</w:t>
            </w:r>
          </w:p>
        </w:tc>
        <w:tc>
          <w:tcPr>
            <w:tcW w:type="dxa" w:w="1726"/>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Internal — post-recompute evaluation</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detects growth decline</w:t>
            </w:r>
          </w:p>
        </w:tc>
        <w:tc>
          <w:tcPr>
            <w:tcW w:type="dxa" w:w="20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Identify sustained negative trend across recent metric_snapshots</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Risk Management Module → Risk Analysis Service</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metric_snapshots (composite_score, snapshot_date)</w:t>
            </w:r>
          </w:p>
        </w:tc>
        <w:tc>
          <w:tcPr>
            <w:tcW w:type="dxa" w:w="1726"/>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Internal — trend evaluation</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classifies risk level</w:t>
            </w:r>
          </w:p>
        </w:tc>
        <w:tc>
          <w:tcPr>
            <w:tcW w:type="dxa" w:w="20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Assign LOW / MEDIUM / HIGH risk level based on deviation and trend</w:t>
            </w:r>
          </w:p>
        </w:tc>
        <w:tc>
          <w:tcPr>
            <w:tcW w:type="dxa" w:w="15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Risk Management Module</w:t>
            </w:r>
          </w:p>
        </w:tc>
        <w:tc>
          <w:tcPr>
            <w:tcW w:type="dxa" w:w="15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students (risk_level), audit_log</w:t>
            </w:r>
          </w:p>
        </w:tc>
        <w:tc>
          <w:tcPr>
            <w:tcW w:type="dxa" w:w="1726"/>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Internal — classification</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generates alert and notifies teacher</w:t>
            </w:r>
          </w:p>
        </w:tc>
        <w:tc>
          <w:tcPr>
            <w:tcW w:type="dxa" w:w="20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Create alert record; surface in teacher dashboard</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Risk Management Module → Alert Service</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alert_records (student_id, risk_level, acknowledged)</w:t>
            </w:r>
          </w:p>
        </w:tc>
        <w:tc>
          <w:tcPr>
            <w:tcW w:type="dxa" w:w="1726"/>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GET /api/alerts</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Teacher or Admin views at-risk list</w:t>
            </w:r>
          </w:p>
        </w:tc>
        <w:tc>
          <w:tcPr>
            <w:tcW w:type="dxa" w:w="20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Provide filterable at-risk student list by group and risk level</w:t>
            </w:r>
          </w:p>
        </w:tc>
        <w:tc>
          <w:tcPr>
            <w:tcW w:type="dxa" w:w="15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Risk Management Module</w:t>
            </w:r>
          </w:p>
        </w:tc>
        <w:tc>
          <w:tcPr>
            <w:tcW w:type="dxa" w:w="15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students + student_metrics + alert_records</w:t>
            </w:r>
          </w:p>
        </w:tc>
        <w:tc>
          <w:tcPr>
            <w:tcW w:type="dxa" w:w="1726"/>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val="false"/>
                <w:bCs w:val="false"/>
                <w:sz w:val="18"/>
                <w:szCs w:val="18"/>
              </w:rPr>
              <w:t xml:space="preserve">GET /api/at-risk</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bl>
    <w:p>
      <w:pPr>
        <w:spacing w:after="60" w:before="60"/>
      </w:pPr>
    </w:p>
    <w:p>
      <w:pPr>
        <w:pStyle w:val="Heading3"/>
        <w:spacing w:after="60" w:before="200"/>
      </w:pPr>
      <w:r>
        <w:rPr>
          <w:rFonts w:ascii="Arial" w:cs="Arial" w:eastAsia="Arial" w:hAnsi="Arial"/>
          <w:b/>
          <w:bCs/>
          <w:sz w:val="22"/>
          <w:szCs w:val="22"/>
        </w:rPr>
        <w:t xml:space="preserve">4.3.6 Admin Monitoring Process</w:t>
      </w:r>
    </w:p>
    <w:p>
      <w:pPr>
        <w:spacing w:after="120" w:before="80" w:line="276"/>
      </w:pPr>
      <w:r>
        <w:rPr>
          <w:rFonts w:ascii="Arial" w:cs="Arial" w:eastAsia="Arial" w:hAnsi="Arial"/>
          <w:sz w:val="22"/>
          <w:szCs w:val="22"/>
        </w:rPr>
        <w:t xml:space="preserve">The Admin Monitoring Process models the governance and oversight workflow through which administrators manage users, configure the scoring formula, monitor teacher activity, and review system-wide analytics. Unlike the preceding processes, which operate within bounded user interactions, the Admin Monitoring Process spans multiple sub-workflows and encompasses both read operations (dashboard, activity review) and write operations (user management, formula configuration). Its engineering significance lies primarily in two areas: the configuration management workflow and the audit trail requirement.</w:t>
      </w:r>
    </w:p>
    <w:p>
      <w:pPr>
        <w:spacing w:after="120" w:before="80" w:line="276"/>
      </w:pPr>
      <w:r>
        <w:rPr>
          <w:rFonts w:ascii="Arial" w:cs="Arial" w:eastAsia="Arial" w:hAnsi="Arial"/>
          <w:sz w:val="22"/>
          <w:szCs w:val="22"/>
        </w:rPr>
        <w:t xml:space="preserve">The configuration management sub-process produced one of the most important design decisions in the system. The BPMN model showed that when an administrator changes the formula weights or risk threshold, the system must validate that dimension weights sum to 1.0 before persisting the change, and must then immediately trigger a system-wide metric recomputation for all students. This cascade behaviour — </w:t>
      </w:r>
      <w:r>
        <w:rPr>
          <w:rFonts w:ascii="Arial" w:cs="Arial" w:eastAsia="Arial" w:hAnsi="Arial"/>
          <w:b/>
          <w:bCs/>
          <w:sz w:val="22"/>
          <w:szCs w:val="22"/>
        </w:rPr>
        <w:t xml:space="preserve">config change → validation → bulk recompute → audit log entry</w:t>
      </w:r>
      <w:r>
        <w:rPr>
          <w:rFonts w:ascii="Arial" w:cs="Arial" w:eastAsia="Arial" w:hAnsi="Arial"/>
          <w:sz w:val="22"/>
          <w:szCs w:val="22"/>
        </w:rPr>
        <w:t xml:space="preserve"> — was not explicitly stated in the original system description. The BPMN sequence and gateway conditions made it visible, leading to the separation of the formula_config table from student_metrics, the addition of a weight-sum validation rule in the Configuration Service, the design of a bulk recompute endpoint internal to the Metrics Engine, and the requirement for an audit_log entry recording the old and new formula values for every configuration change.</w:t>
      </w:r>
    </w:p>
    <w:p>
      <w:pPr>
        <w:spacing w:after="120" w:before="80" w:line="276"/>
      </w:pPr>
      <w:r>
        <w:rPr>
          <w:rFonts w:ascii="Arial" w:cs="Arial" w:eastAsia="Arial" w:hAnsi="Arial"/>
          <w:sz w:val="22"/>
          <w:szCs w:val="22"/>
        </w:rPr>
        <w:t xml:space="preserve">The audit_log table, derived from the BPMN audit trail requirement, stores actor_id, action, entity, old_value, new_value, and timestamp for every admin write operation. This structure supports two system requirements that emerged only from the process model: the ability to review who changed the formula and when, and the ability to correlate changes in composite scores with configuration events when investigating unexpected score movements.</w:t>
      </w:r>
    </w:p>
    <w:p>
      <w:pPr>
        <w:spacing w:after="60" w:before="60"/>
      </w:pPr>
    </w:p>
    <w:p>
      <w:pPr>
        <w:spacing w:after="120" w:before="40"/>
        <w:jc w:val="center"/>
      </w:pPr>
      <w:r>
        <w:rPr>
          <w:rFonts w:ascii="Arial" w:cs="Arial" w:eastAsia="Arial" w:hAnsi="Arial"/>
          <w:i/>
          <w:iCs/>
          <w:color w:val="555555"/>
          <w:sz w:val="18"/>
          <w:szCs w:val="18"/>
        </w:rPr>
        <w:t xml:space="preserve">Table 4.6 — Traceability Matrix: Admin Monitoring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500"/>
        <w:gridCol w:w="1500"/>
        <w:gridCol w:w="1726"/>
        <w:gridCol w:w="60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BPMN Activity</w:t>
            </w:r>
          </w:p>
        </w:tc>
        <w:tc>
          <w:tcPr>
            <w:tcW w:type="dxa" w:w="20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Functional 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Architecture Module</w:t>
            </w:r>
          </w:p>
        </w:tc>
        <w:tc>
          <w:tcPr>
            <w:tcW w:type="dxa" w:w="15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Database Entity</w:t>
            </w:r>
          </w:p>
        </w:tc>
        <w:tc>
          <w:tcPr>
            <w:tcW w:type="dxa" w:w="1726"/>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API Endpoint</w:t>
            </w:r>
          </w:p>
        </w:tc>
        <w:tc>
          <w:tcPr>
            <w:tcW w:type="dxa" w:w="6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r>
      <w:tr>
        <w:tc>
          <w:tcPr>
            <w:tcW w:type="dxa" w:w="17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Admin accesses system dashboard</w:t>
            </w:r>
          </w:p>
        </w:tc>
        <w:tc>
          <w:tcPr>
            <w:tcW w:type="dxa" w:w="20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Provide admin with aggregated system-wide analytics view</w:t>
            </w:r>
          </w:p>
        </w:tc>
        <w:tc>
          <w:tcPr>
            <w:tcW w:type="dxa" w:w="15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Administration Module → Dashboard Service</w:t>
            </w:r>
          </w:p>
        </w:tc>
        <w:tc>
          <w:tcPr>
            <w:tcW w:type="dxa" w:w="15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student_metrics (aggregated), groups, courses</w:t>
            </w:r>
          </w:p>
        </w:tc>
        <w:tc>
          <w:tcPr>
            <w:tcW w:type="dxa" w:w="1726"/>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GET /api/admin/dashboard</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Admin manages users</w:t>
            </w:r>
          </w:p>
        </w:tc>
        <w:tc>
          <w:tcPr>
            <w:tcW w:type="dxa" w:w="20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Create, update, and deactivate user accounts with role assignment</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Administration Module → User Management Service</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users (id, email, role, is_active)</w:t>
            </w:r>
          </w:p>
        </w:tc>
        <w:tc>
          <w:tcPr>
            <w:tcW w:type="dxa" w:w="1726"/>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GET, POST, PATCH /api/admin/users</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Admin configures scoring formula</w:t>
            </w:r>
          </w:p>
        </w:tc>
        <w:tc>
          <w:tcPr>
            <w:tcW w:type="dxa" w:w="20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Adjust dimension weights; validate weights sum to 1.0; trigger bulk recompute</w:t>
            </w:r>
          </w:p>
        </w:tc>
        <w:tc>
          <w:tcPr>
            <w:tcW w:type="dxa" w:w="15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Administration Module → Configuration Service</w:t>
            </w:r>
          </w:p>
        </w:tc>
        <w:tc>
          <w:tcPr>
            <w:tcW w:type="dxa" w:w="15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formula_config (dimension, weight, risk_threshold)</w:t>
            </w:r>
          </w:p>
        </w:tc>
        <w:tc>
          <w:tcPr>
            <w:tcW w:type="dxa" w:w="1726"/>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GET, POST /api/admin/config</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System logs all admin actions</w:t>
            </w:r>
          </w:p>
        </w:tc>
        <w:tc>
          <w:tcPr>
            <w:tcW w:type="dxa" w:w="20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Write audit entry for every admin configuration change</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Administration Module → Audit Service</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audit_log (actor_id, action, old_value, new_value, timestamp)</w:t>
            </w:r>
          </w:p>
        </w:tc>
        <w:tc>
          <w:tcPr>
            <w:tcW w:type="dxa" w:w="1726"/>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Internal — written on every admin write</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r>
        <w:tc>
          <w:tcPr>
            <w:tcW w:type="dxa" w:w="17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Admin reviews teacher activity</w:t>
            </w:r>
          </w:p>
        </w:tc>
        <w:tc>
          <w:tcPr>
            <w:tcW w:type="dxa" w:w="20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Monitor per-teacher counts of attendance records and grades submitted</w:t>
            </w:r>
          </w:p>
        </w:tc>
        <w:tc>
          <w:tcPr>
            <w:tcW w:type="dxa" w:w="15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Administration Module</w:t>
            </w:r>
          </w:p>
        </w:tc>
        <w:tc>
          <w:tcPr>
            <w:tcW w:type="dxa" w:w="1500"/>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attendance (marked_by), grades (teacher_id)</w:t>
            </w:r>
          </w:p>
        </w:tc>
        <w:tc>
          <w:tcPr>
            <w:tcW w:type="dxa" w:w="1726"/>
            <w:tcBorders>
              <w:top w:val="single" w:color="BBBBBB" w:sz="1"/>
              <w:left w:val="single" w:color="BBBBBB" w:sz="1"/>
              <w:bottom w:val="single" w:color="BBBBBB" w:sz="1"/>
              <w:right w:val="single" w:color="BBBBBB" w:sz="1"/>
            </w:tcBorders>
            <w:shd w:fill="FFF2CC" w:val="clear"/>
            <w:tcMar>
              <w:top w:type="dxa" w:w="60"/>
              <w:left w:type="dxa" w:w="80"/>
              <w:bottom w:type="dxa" w:w="60"/>
              <w:right w:type="dxa" w:w="80"/>
            </w:tcMar>
            <w:vAlign w:val="center"/>
          </w:tcPr>
          <w:p>
            <w:r>
              <w:rPr>
                <w:rFonts w:ascii="Arial" w:cs="Arial" w:eastAsia="Arial" w:hAnsi="Arial"/>
                <w:b w:val="false"/>
                <w:bCs w:val="false"/>
                <w:sz w:val="18"/>
                <w:szCs w:val="18"/>
              </w:rPr>
              <w:t xml:space="preserve">GET /api/admin/teachers/activity</w:t>
            </w:r>
          </w:p>
        </w:tc>
        <w:tc>
          <w:tcPr>
            <w:tcW w:type="dxa" w:w="600"/>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vAlign w:val="center"/>
          </w:tcPr>
          <w:p>
            <w:r>
              <w:rPr>
                <w:rFonts w:ascii="Arial" w:cs="Arial" w:eastAsia="Arial" w:hAnsi="Arial"/>
                <w:b/>
                <w:bCs/>
                <w:sz w:val="18"/>
                <w:szCs w:val="18"/>
              </w:rPr>
              <w:t xml:space="preserve">✓</w:t>
            </w:r>
          </w:p>
        </w:tc>
      </w:tr>
    </w:tbl>
    <w:p>
      <w:pPr>
        <w:spacing w:after="60" w:before="60"/>
      </w:pPr>
    </w:p>
    <w:p>
      <w:pPr>
        <w:pStyle w:val="Heading2"/>
        <w:spacing w:after="80" w:before="240"/>
      </w:pPr>
      <w:r>
        <w:rPr>
          <w:rFonts w:ascii="Arial" w:cs="Arial" w:eastAsia="Arial" w:hAnsi="Arial"/>
          <w:b/>
          <w:bCs/>
          <w:sz w:val="24"/>
          <w:szCs w:val="24"/>
        </w:rPr>
        <w:t xml:space="preserve">4.4 Synthesis: BPMN Transformation Pathway</w:t>
      </w:r>
    </w:p>
    <w:p>
      <w:pPr>
        <w:pStyle w:val="Heading3"/>
        <w:spacing w:after="60" w:before="200"/>
      </w:pPr>
      <w:r>
        <w:rPr>
          <w:rFonts w:ascii="Arial" w:cs="Arial" w:eastAsia="Arial" w:hAnsi="Arial"/>
          <w:b/>
          <w:bCs/>
          <w:sz w:val="22"/>
          <w:szCs w:val="22"/>
        </w:rPr>
        <w:t xml:space="preserve">4.4.1 BPMN to Requirements Engineering</w:t>
      </w:r>
    </w:p>
    <w:p>
      <w:pPr>
        <w:spacing w:after="120" w:before="80" w:line="276"/>
      </w:pPr>
      <w:r>
        <w:rPr>
          <w:rFonts w:ascii="Arial" w:cs="Arial" w:eastAsia="Arial" w:hAnsi="Arial"/>
          <w:sz w:val="22"/>
          <w:szCs w:val="22"/>
        </w:rPr>
        <w:t xml:space="preserve">Across all six processes, BPMN consistently produced functional requirements that were more precise than those derivable from textual descriptions alone. The most significant contributions were at the level of exception paths and gateway conditions. Three concrete examples illustrate this pattern. In the User Authentication Process, the BPMN exception event for deactivated accounts produced the is_active field and its associated validation rule, which would not have been captured in a simple 'user can log in' requirement. In the Attendance Management Process, the uniqueness gateway produced the unique constraint on (lesson_id, student_id), preventing duplicate records without any explicit instruction in the original scope. In the Admin Monitoring Process, the cascade gateway for formula configuration changes produced the bulk recompute requirement and the audit_log structure, both of which emerged from the BPMN sequence rather than from a stated requirement.</w:t>
      </w:r>
    </w:p>
    <w:p>
      <w:pPr>
        <w:spacing w:after="120" w:before="80" w:line="276"/>
      </w:pPr>
      <w:r>
        <w:rPr>
          <w:rFonts w:ascii="Arial" w:cs="Arial" w:eastAsia="Arial" w:hAnsi="Arial"/>
          <w:sz w:val="22"/>
          <w:szCs w:val="22"/>
        </w:rPr>
        <w:t xml:space="preserve">These findings align with the literature reviewed in Chapter 2, specifically the argument by Dumas et al. (2018) that BPMN improves requirements quality by exposing exception handling and conditional logic. However, the EduMetric CRM analysis extends this claim by demonstrating that BPMN exception paths produce not only </w:t>
      </w:r>
      <w:r>
        <w:rPr>
          <w:rFonts w:ascii="Arial" w:cs="Arial" w:eastAsia="Arial" w:hAnsi="Arial"/>
          <w:b/>
          <w:bCs/>
          <w:sz w:val="22"/>
          <w:szCs w:val="22"/>
        </w:rPr>
        <w:t xml:space="preserve">additional requirements</w:t>
      </w:r>
      <w:r>
        <w:rPr>
          <w:rFonts w:ascii="Arial" w:cs="Arial" w:eastAsia="Arial" w:hAnsi="Arial"/>
          <w:sz w:val="22"/>
          <w:szCs w:val="22"/>
        </w:rPr>
        <w:t xml:space="preserve"> but also specific </w:t>
      </w:r>
      <w:r>
        <w:rPr>
          <w:rFonts w:ascii="Arial" w:cs="Arial" w:eastAsia="Arial" w:hAnsi="Arial"/>
          <w:b/>
          <w:bCs/>
          <w:sz w:val="22"/>
          <w:szCs w:val="22"/>
        </w:rPr>
        <w:t xml:space="preserve">database constraints and API response codes</w:t>
      </w:r>
      <w:r>
        <w:rPr>
          <w:rFonts w:ascii="Arial" w:cs="Arial" w:eastAsia="Arial" w:hAnsi="Arial"/>
          <w:sz w:val="22"/>
          <w:szCs w:val="22"/>
        </w:rPr>
        <w:t xml:space="preserve"> that would otherwise require separate specification effort.</w:t>
      </w:r>
    </w:p>
    <w:p>
      <w:pPr>
        <w:pStyle w:val="Heading3"/>
        <w:spacing w:after="60" w:before="200"/>
      </w:pPr>
      <w:r>
        <w:rPr>
          <w:rFonts w:ascii="Arial" w:cs="Arial" w:eastAsia="Arial" w:hAnsi="Arial"/>
          <w:b/>
          <w:bCs/>
          <w:sz w:val="22"/>
          <w:szCs w:val="22"/>
        </w:rPr>
        <w:t xml:space="preserve">4.4.2 BPMN to Software Architecture</w:t>
      </w:r>
    </w:p>
    <w:p>
      <w:pPr>
        <w:spacing w:after="120" w:before="80" w:line="276"/>
      </w:pPr>
      <w:r>
        <w:rPr>
          <w:rFonts w:ascii="Arial" w:cs="Arial" w:eastAsia="Arial" w:hAnsi="Arial"/>
          <w:sz w:val="22"/>
          <w:szCs w:val="22"/>
        </w:rPr>
        <w:t xml:space="preserve">The mapping between BPMN processes and architectural modules followed a consistent pattern across all six processes. Each process corresponded to one primary architectural module, and in several cases revealed secondary service dependencies. The full process-to-module mapping is presented in Table 4.7 below.</w:t>
      </w:r>
    </w:p>
    <w:p>
      <w:pPr>
        <w:spacing w:after="60" w:before="60"/>
      </w:pPr>
    </w:p>
    <w:p>
      <w:pPr>
        <w:spacing w:after="120" w:before="40"/>
        <w:jc w:val="center"/>
      </w:pPr>
      <w:r>
        <w:rPr>
          <w:rFonts w:ascii="Arial" w:cs="Arial" w:eastAsia="Arial" w:hAnsi="Arial"/>
          <w:i/>
          <w:iCs/>
          <w:color w:val="555555"/>
          <w:sz w:val="18"/>
          <w:szCs w:val="18"/>
        </w:rPr>
        <w:t xml:space="preserve">Table 4.7 — BPMN Process to Architecture Module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rPr>
          <w:tblHeader/>
        </w:trPr>
        <w:tc>
          <w:tcPr>
            <w:tcW w:type="dxa" w:w="28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BPMN Process</w:t>
            </w:r>
          </w:p>
        </w:tc>
        <w:tc>
          <w:tcPr>
            <w:tcW w:type="dxa" w:w="26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Primary Architecture Module</w:t>
            </w:r>
          </w:p>
        </w:tc>
        <w:tc>
          <w:tcPr>
            <w:tcW w:type="dxa" w:w="3626"/>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Secondary Service Dependencies</w:t>
            </w:r>
          </w:p>
        </w:tc>
      </w:tr>
      <w:tr>
        <w:tc>
          <w:tcPr>
            <w:tcW w:type="dxa" w:w="28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bCs/>
                <w:sz w:val="18"/>
                <w:szCs w:val="18"/>
              </w:rPr>
              <w:t xml:space="preserve">User Authentication</w:t>
            </w:r>
          </w:p>
        </w:tc>
        <w:tc>
          <w:tcPr>
            <w:tcW w:type="dxa" w:w="26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Auth Module</w:t>
            </w:r>
          </w:p>
        </w:tc>
        <w:tc>
          <w:tcPr>
            <w:tcW w:type="dxa" w:w="3626"/>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JWT Service, Security Layer, Frontend Router</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bCs/>
                <w:sz w:val="18"/>
                <w:szCs w:val="18"/>
              </w:rPr>
              <w:t xml:space="preserve">Attendance Management</w:t>
            </w:r>
          </w:p>
        </w:tc>
        <w:tc>
          <w:tcPr>
            <w:tcW w:type="dxa" w:w="26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Attendance Module</w:t>
            </w:r>
          </w:p>
        </w:tc>
        <w:tc>
          <w:tcPr>
            <w:tcW w:type="dxa" w:w="3626"/>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Lesson Service, Group Service, Metrics Engine</w:t>
            </w:r>
          </w:p>
        </w:tc>
      </w:tr>
      <w:tr>
        <w:tc>
          <w:tcPr>
            <w:tcW w:type="dxa" w:w="28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bCs/>
                <w:sz w:val="18"/>
                <w:szCs w:val="18"/>
              </w:rPr>
              <w:t xml:space="preserve">Student Evaluation</w:t>
            </w:r>
          </w:p>
        </w:tc>
        <w:tc>
          <w:tcPr>
            <w:tcW w:type="dxa" w:w="26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Evaluation Module</w:t>
            </w:r>
          </w:p>
        </w:tc>
        <w:tc>
          <w:tcPr>
            <w:tcW w:type="dxa" w:w="3626"/>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Validation Service, Metrics Engine, Formula Config</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bCs/>
                <w:sz w:val="18"/>
                <w:szCs w:val="18"/>
              </w:rPr>
              <w:t xml:space="preserve">Student Analytics Generation</w:t>
            </w:r>
          </w:p>
        </w:tc>
        <w:tc>
          <w:tcPr>
            <w:tcW w:type="dxa" w:w="26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Analytics Module</w:t>
            </w:r>
          </w:p>
        </w:tc>
        <w:tc>
          <w:tcPr>
            <w:tcW w:type="dxa" w:w="3626"/>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Metrics Engine, Dashboard Service, Snapshot Store</w:t>
            </w:r>
          </w:p>
        </w:tc>
      </w:tr>
      <w:tr>
        <w:tc>
          <w:tcPr>
            <w:tcW w:type="dxa" w:w="28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bCs/>
                <w:sz w:val="18"/>
                <w:szCs w:val="18"/>
              </w:rPr>
              <w:t xml:space="preserve">At-Risk Student Detection</w:t>
            </w:r>
          </w:p>
        </w:tc>
        <w:tc>
          <w:tcPr>
            <w:tcW w:type="dxa" w:w="2600"/>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Risk Management Module</w:t>
            </w:r>
          </w:p>
        </w:tc>
        <w:tc>
          <w:tcPr>
            <w:tcW w:type="dxa" w:w="3626"/>
            <w:tcBorders>
              <w:top w:val="single" w:color="BBBBBB" w:sz="1"/>
              <w:left w:val="single" w:color="BBBBBB" w:sz="1"/>
              <w:bottom w:val="single" w:color="BBBBBB" w:sz="1"/>
              <w:right w:val="single" w:color="BBBBBB" w:sz="1"/>
            </w:tcBorders>
            <w:shd w:fill="DEEAF1" w:val="clear"/>
            <w:tcMar>
              <w:top w:type="dxa" w:w="60"/>
              <w:left w:type="dxa" w:w="80"/>
              <w:bottom w:type="dxa" w:w="60"/>
              <w:right w:type="dxa" w:w="80"/>
            </w:tcMar>
            <w:vAlign w:val="center"/>
          </w:tcPr>
          <w:p>
            <w:r>
              <w:rPr>
                <w:rFonts w:ascii="Arial" w:cs="Arial" w:eastAsia="Arial" w:hAnsi="Arial"/>
                <w:b w:val="false"/>
                <w:bCs w:val="false"/>
                <w:sz w:val="18"/>
                <w:szCs w:val="18"/>
              </w:rPr>
              <w:t xml:space="preserve">Risk Analysis Service, Alert Service, Metrics Engine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bCs/>
                <w:sz w:val="18"/>
                <w:szCs w:val="18"/>
              </w:rPr>
              <w:t xml:space="preserve">Admin Monitoring</w:t>
            </w:r>
          </w:p>
        </w:tc>
        <w:tc>
          <w:tcPr>
            <w:tcW w:type="dxa" w:w="26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Administration Module</w:t>
            </w:r>
          </w:p>
        </w:tc>
        <w:tc>
          <w:tcPr>
            <w:tcW w:type="dxa" w:w="3626"/>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vAlign w:val="center"/>
          </w:tcPr>
          <w:p>
            <w:r>
              <w:rPr>
                <w:rFonts w:ascii="Arial" w:cs="Arial" w:eastAsia="Arial" w:hAnsi="Arial"/>
                <w:b w:val="false"/>
                <w:bCs w:val="false"/>
                <w:sz w:val="18"/>
                <w:szCs w:val="18"/>
              </w:rPr>
              <w:t xml:space="preserve">User Management Service, Configuration Service, Audit Service</w:t>
            </w:r>
          </w:p>
        </w:tc>
      </w:tr>
    </w:tbl>
    <w:p>
      <w:pPr>
        <w:spacing w:after="60" w:before="60"/>
      </w:pPr>
    </w:p>
    <w:p>
      <w:pPr>
        <w:spacing w:after="120" w:before="80" w:line="276"/>
      </w:pPr>
      <w:r>
        <w:rPr>
          <w:rFonts w:ascii="Arial" w:cs="Arial" w:eastAsia="Arial" w:hAnsi="Arial"/>
          <w:sz w:val="22"/>
          <w:szCs w:val="22"/>
        </w:rPr>
        <w:t xml:space="preserve">The modular monolith architecture of EduMetric CRM aligned well with this BPMN-derived decomposition. Because each process corresponded to a bounded set of responsibilities, the module boundaries reflected operational reality rather than arbitrary technical grouping. This finding supports the architectural principle, described by Bass, Clements and Kazman (2021), that system decomposition should be driven by the natural separation of operational concerns rather than by implementation convenience.</w:t>
      </w:r>
    </w:p>
    <w:p>
      <w:pPr>
        <w:pStyle w:val="Heading3"/>
        <w:spacing w:after="60" w:before="200"/>
      </w:pPr>
      <w:r>
        <w:rPr>
          <w:rFonts w:ascii="Arial" w:cs="Arial" w:eastAsia="Arial" w:hAnsi="Arial"/>
          <w:b/>
          <w:bCs/>
          <w:sz w:val="22"/>
          <w:szCs w:val="22"/>
        </w:rPr>
        <w:t xml:space="preserve">4.4.3 BPMN to Database Design</w:t>
      </w:r>
    </w:p>
    <w:p>
      <w:pPr>
        <w:spacing w:after="120" w:before="80" w:line="276"/>
      </w:pPr>
      <w:r>
        <w:rPr>
          <w:rFonts w:ascii="Arial" w:cs="Arial" w:eastAsia="Arial" w:hAnsi="Arial"/>
          <w:sz w:val="22"/>
          <w:szCs w:val="22"/>
        </w:rPr>
        <w:t xml:space="preserve">The BPMN analysis produced database artefacts through two mechanisms. First, BPMN activities that create or persist data identified candidate entities. Second, BPMN gateways and exception paths identified constraints, status fields, and audit requirements. The fourteen core entities in EduMetric CRM can be directly traced to BPMN activities: users and roles from the authentication process; lessons, groups, and attendance from attendance management; grades, behaviour_records, and activity_records from student evaluation; student_metrics and metric_snapshots from the analytics generation process; alert_records from at-risk detection; and formula_config and audit_log from admin monitoring.</w:t>
      </w:r>
    </w:p>
    <w:p>
      <w:pPr>
        <w:spacing w:after="120" w:before="80" w:line="276"/>
      </w:pPr>
      <w:r>
        <w:rPr>
          <w:rFonts w:ascii="Arial" w:cs="Arial" w:eastAsia="Arial" w:hAnsi="Arial"/>
          <w:sz w:val="22"/>
          <w:szCs w:val="22"/>
        </w:rPr>
        <w:t xml:space="preserve">An important limitation observed during this analysis is that BPMN identifies entities but does not define their relational structure. The cardinality between students and groups, the foreign key from attendance to lessons and students, and the cascade behaviour of formula_config changes on student_metrics all required supplementary ERD design beyond the BPMN scope. This finding confirms the position in the literature that BPMN should be complemented by entity-relationship modelling rather than used as a substitute for it (Connolly and Begg, 2015).</w:t>
      </w:r>
    </w:p>
    <w:p>
      <w:pPr>
        <w:pStyle w:val="Heading3"/>
        <w:spacing w:after="60" w:before="200"/>
      </w:pPr>
      <w:r>
        <w:rPr>
          <w:rFonts w:ascii="Arial" w:cs="Arial" w:eastAsia="Arial" w:hAnsi="Arial"/>
          <w:b/>
          <w:bCs/>
          <w:sz w:val="22"/>
          <w:szCs w:val="22"/>
        </w:rPr>
        <w:t xml:space="preserve">4.4.4 BPMN to API Design</w:t>
      </w:r>
    </w:p>
    <w:p>
      <w:pPr>
        <w:spacing w:after="120" w:before="80" w:line="276"/>
      </w:pPr>
      <w:r>
        <w:rPr>
          <w:rFonts w:ascii="Arial" w:cs="Arial" w:eastAsia="Arial" w:hAnsi="Arial"/>
          <w:sz w:val="22"/>
          <w:szCs w:val="22"/>
        </w:rPr>
        <w:t xml:space="preserve">The API artefacts derived from BPMN followed a consistent principle: each BPMN activity requiring user-system interaction or system-system communication corresponded to one API endpoint with a clearly defined responsibility. Across all six processes, twenty-two distinct REST endpoints were identified. These endpoints were grouped by bounded context, following the REST design principle of resource-oriented architecture (Richardson and Amundsen, 2020), with endpoint families mapping directly to the architectural modules derived in section 4.4.2.</w:t>
      </w:r>
    </w:p>
    <w:p>
      <w:pPr>
        <w:spacing w:after="120" w:before="80" w:line="276"/>
      </w:pPr>
      <w:r>
        <w:rPr>
          <w:rFonts w:ascii="Arial" w:cs="Arial" w:eastAsia="Arial" w:hAnsi="Arial"/>
          <w:sz w:val="22"/>
          <w:szCs w:val="22"/>
        </w:rPr>
        <w:t xml:space="preserve">A notable outcome of BPMN-driven API design was the avoidance of redundant endpoints. Because each endpoint was derived from a specific BPMN activity with a defined trigger and outcome, there was no need to create speculative endpoints for functionality not grounded in a modelled process. This contrasts with API-first design approaches that can produce overly broad endpoint surfaces based on assumed requirements rather than demonstrated process logic.</w:t>
      </w:r>
    </w:p>
    <w:p>
      <w:pPr>
        <w:pStyle w:val="Heading2"/>
        <w:spacing w:after="80" w:before="240"/>
      </w:pPr>
      <w:r>
        <w:rPr>
          <w:rFonts w:ascii="Arial" w:cs="Arial" w:eastAsia="Arial" w:hAnsi="Arial"/>
          <w:b/>
          <w:bCs/>
          <w:sz w:val="24"/>
          <w:szCs w:val="24"/>
        </w:rPr>
        <w:t xml:space="preserve">4.5 Evaluation of Traceability</w:t>
      </w:r>
    </w:p>
    <w:p>
      <w:pPr>
        <w:spacing w:after="120" w:before="80" w:line="276"/>
      </w:pPr>
      <w:r>
        <w:rPr>
          <w:rFonts w:ascii="Arial" w:cs="Arial" w:eastAsia="Arial" w:hAnsi="Arial"/>
          <w:sz w:val="22"/>
          <w:szCs w:val="22"/>
        </w:rPr>
        <w:t xml:space="preserve">The traceability analysis demonstrated that complete end-to-end traceability was achievable for all six BPMN processes within the EduMetric CRM project. For every BPMN activity, at least one functional requirement, one architecture component, one database entity, and one API endpoint or internal service interaction could be identified and documented. Tables 4.1 through 4.6 constitute the traceability evidence for this claim, and the full traceability matrix is provided in Appendix K.</w:t>
      </w:r>
    </w:p>
    <w:p>
      <w:pPr>
        <w:spacing w:after="120" w:before="80" w:line="276"/>
      </w:pPr>
      <w:r>
        <w:rPr>
          <w:rFonts w:ascii="Arial" w:cs="Arial" w:eastAsia="Arial" w:hAnsi="Arial"/>
          <w:sz w:val="22"/>
          <w:szCs w:val="22"/>
        </w:rPr>
        <w:t xml:space="preserve">Three observations are worth highlighting. First, the </w:t>
      </w:r>
      <w:r>
        <w:rPr>
          <w:rFonts w:ascii="Arial" w:cs="Arial" w:eastAsia="Arial" w:hAnsi="Arial"/>
          <w:b/>
          <w:bCs/>
          <w:sz w:val="22"/>
          <w:szCs w:val="22"/>
        </w:rPr>
        <w:t xml:space="preserve">Attendance Management</w:t>
      </w:r>
      <w:r>
        <w:rPr>
          <w:rFonts w:ascii="Arial" w:cs="Arial" w:eastAsia="Arial" w:hAnsi="Arial"/>
          <w:sz w:val="22"/>
          <w:szCs w:val="22"/>
        </w:rPr>
        <w:t xml:space="preserve"> and </w:t>
      </w:r>
      <w:r>
        <w:rPr>
          <w:rFonts w:ascii="Arial" w:cs="Arial" w:eastAsia="Arial" w:hAnsi="Arial"/>
          <w:b/>
          <w:bCs/>
          <w:sz w:val="22"/>
          <w:szCs w:val="22"/>
        </w:rPr>
        <w:t xml:space="preserve">Student Evaluation</w:t>
      </w:r>
      <w:r>
        <w:rPr>
          <w:rFonts w:ascii="Arial" w:cs="Arial" w:eastAsia="Arial" w:hAnsi="Arial"/>
          <w:sz w:val="22"/>
          <w:szCs w:val="22"/>
        </w:rPr>
        <w:t xml:space="preserve"> processes produced the highest density of artefacts per BPMN activity, reflecting the fact that transactional processes with multiple input paths generate proportionally more database entities and API endpoints. Second, the </w:t>
      </w:r>
      <w:r>
        <w:rPr>
          <w:rFonts w:ascii="Arial" w:cs="Arial" w:eastAsia="Arial" w:hAnsi="Arial"/>
          <w:b/>
          <w:bCs/>
          <w:sz w:val="22"/>
          <w:szCs w:val="22"/>
        </w:rPr>
        <w:t xml:space="preserve">At-Risk Detection</w:t>
      </w:r>
      <w:r>
        <w:rPr>
          <w:rFonts w:ascii="Arial" w:cs="Arial" w:eastAsia="Arial" w:hAnsi="Arial"/>
          <w:sz w:val="22"/>
          <w:szCs w:val="22"/>
        </w:rPr>
        <w:t xml:space="preserve"> and </w:t>
      </w:r>
      <w:r>
        <w:rPr>
          <w:rFonts w:ascii="Arial" w:cs="Arial" w:eastAsia="Arial" w:hAnsi="Arial"/>
          <w:b/>
          <w:bCs/>
          <w:sz w:val="22"/>
          <w:szCs w:val="22"/>
        </w:rPr>
        <w:t xml:space="preserve">Admin Monitoring</w:t>
      </w:r>
      <w:r>
        <w:rPr>
          <w:rFonts w:ascii="Arial" w:cs="Arial" w:eastAsia="Arial" w:hAnsi="Arial"/>
          <w:sz w:val="22"/>
          <w:szCs w:val="22"/>
        </w:rPr>
        <w:t xml:space="preserve"> processes produced the most significant architectural consequences per activity, because their gateway conditions revealed configurable business rules rather than simple data operations. Third, two processes — Analytics Generation and Admin Monitoring — produced internal service calls rather than external API endpoints for some activities, demonstrating that not all BPMN activities translate to API surfaces; some translate instead to intra-module service dependencies.</w:t>
      </w:r>
    </w:p>
    <w:p>
      <w:pPr>
        <w:pStyle w:val="Heading2"/>
        <w:spacing w:after="80" w:before="240"/>
      </w:pPr>
      <w:r>
        <w:rPr>
          <w:rFonts w:ascii="Arial" w:cs="Arial" w:eastAsia="Arial" w:hAnsi="Arial"/>
          <w:b/>
          <w:bCs/>
          <w:sz w:val="24"/>
          <w:szCs w:val="24"/>
        </w:rPr>
        <w:t xml:space="preserve">4.6 Limitations of the Analysis</w:t>
      </w:r>
    </w:p>
    <w:p>
      <w:pPr>
        <w:spacing w:after="120" w:before="80" w:line="276"/>
      </w:pPr>
      <w:r>
        <w:rPr>
          <w:rFonts w:ascii="Arial" w:cs="Arial" w:eastAsia="Arial" w:hAnsi="Arial"/>
          <w:sz w:val="22"/>
          <w:szCs w:val="22"/>
        </w:rPr>
        <w:t xml:space="preserve">Several limitations should be acknowledged. The artefact analysis in this chapter focuses on design-time artefacts rather than production deployment evidence. While the database schema, API endpoints, and architecture modules are specified with sufficient precision for implementation, the dissertation does not measure runtime performance, test coverage percentages, or production defect rates. Additionally, the traceability established in this chapter depends on the author's interpretation of BPMN gateway conditions. A different software engineer reading the same BPMN models might make different design decisions at certain decision points, particularly where gateway conditions are qualitative rather than quantitative. This is an inherent limitation of artefact-based analysis rather than quantitative measurement, and is acknowledged in the methodology in Chapter 3.</w:t>
      </w:r>
    </w:p>
    <w:p>
      <w:pPr>
        <w:pStyle w:val="Heading2"/>
        <w:spacing w:after="80" w:before="240"/>
      </w:pPr>
      <w:r>
        <w:rPr>
          <w:rFonts w:ascii="Arial" w:cs="Arial" w:eastAsia="Arial" w:hAnsi="Arial"/>
          <w:b/>
          <w:bCs/>
          <w:sz w:val="24"/>
          <w:szCs w:val="24"/>
        </w:rPr>
        <w:t xml:space="preserve">4.7 Summary of Findings</w:t>
      </w:r>
    </w:p>
    <w:p>
      <w:pPr>
        <w:spacing w:after="120" w:before="80" w:line="276"/>
      </w:pPr>
      <w:r>
        <w:rPr>
          <w:rFonts w:ascii="Arial" w:cs="Arial" w:eastAsia="Arial" w:hAnsi="Arial"/>
          <w:sz w:val="22"/>
          <w:szCs w:val="22"/>
        </w:rPr>
        <w:t xml:space="preserve">The analysis of EduMetric CRM demonstrates that BPMN contributes to information systems development across five software engineering dimensions. BPMN improved requirements precision by making exception paths, role boundaries, and gateway conditions explicit, producing requirements that would not have emerged from textual specification alone. BPMN informed architectural decomposition by exposing bounded operational contexts that mapped directly to the modular monolith module structure. BPMN drove database design by identifying data-producing activities, uniqueness constraints, status fields, and audit requirements. BPMN shaped API design by providing a process-grounded justification for each endpoint, preventing speculative over-engineering of the API surface. Finally, BPMN enabled systematic traceability, linking every process activity to implementation artefacts through the six traceability tables presented in this chapter.</w:t>
      </w:r>
    </w:p>
    <w:p>
      <w:pPr>
        <w:spacing w:after="120" w:before="80" w:line="276"/>
      </w:pPr>
      <w:r>
        <w:rPr>
          <w:rFonts w:ascii="Arial" w:cs="Arial" w:eastAsia="Arial" w:hAnsi="Arial"/>
          <w:sz w:val="22"/>
          <w:szCs w:val="22"/>
        </w:rPr>
        <w:t xml:space="preserve">The findings also identify a consistent limitation: BPMN operates effectively at the level of process logic and system behaviour, but requires supplementary artefacts — ERDs, architecture diagrams, sequence diagrams, and API specifications — to fully define the implementation. This limitation does not diminish the value of BPMN; it positions it correctly as one layer in a broader software engineering toolkit, which is the position advanced in this dissertation's thesis statement and supported by the literature. The implications of these findings are discussed critically in Chapter 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2026-06-11T07:21:33.844Z</dcterms:created>
  <dcterms:modified xsi:type="dcterms:W3CDTF">2026-06-11T07:21:33.845Z</dcterms:modified>
</cp:coreProperties>
</file>

<file path=docProps/custom.xml><?xml version="1.0" encoding="utf-8"?>
<Properties xmlns="http://schemas.openxmlformats.org/officeDocument/2006/custom-properties" xmlns:vt="http://schemas.openxmlformats.org/officeDocument/2006/docPropsVTypes"/>
</file>