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80"/>
      </w:pPr>
    </w:p>
    <w:p>
      <w:pPr>
        <w:spacing w:after="320"/>
        <w:jc w:val="center"/>
      </w:pPr>
      <w:r>
        <w:rPr>
          <w:rFonts w:ascii="Calibri" w:hAnsi="Calibri"/>
          <w:b/>
          <w:color w:val="00A6D6"/>
          <w:sz w:val="20"/>
        </w:rPr>
        <w:t>STOIC-IRIS GOVERNANCE COMPANION</w:t>
      </w:r>
    </w:p>
    <w:p>
      <w:pPr>
        <w:spacing w:after="200"/>
        <w:jc w:val="center"/>
      </w:pPr>
      <w:r>
        <w:rPr>
          <w:rFonts w:ascii="Calibri" w:hAnsi="Calibri"/>
          <w:b/>
          <w:color w:val="0B2545"/>
          <w:sz w:val="52"/>
        </w:rPr>
        <w:t>STOIC-IRIS Phase 2-3 Sovereign</w:t>
        <w:br/>
        <w:t>Capability Evolution Charter</w:t>
      </w:r>
    </w:p>
    <w:p>
      <w:pPr>
        <w:spacing w:after="480"/>
        <w:jc w:val="center"/>
      </w:pPr>
      <w:r>
        <w:rPr>
          <w:rFonts w:ascii="Calibri" w:hAnsi="Calibri"/>
          <w:i/>
          <w:color w:val="1F4D78"/>
          <w:sz w:val="26"/>
        </w:rPr>
        <w:t>Supervised Development Partnership, Worker Foundry, and Continuous Evolution</w:t>
      </w:r>
    </w:p>
    <w:p>
      <w:pPr>
        <w:shd w:fill="E8EEF5"/>
        <w:spacing w:before="160" w:after="160"/>
        <w:ind w:left="173" w:right="173"/>
        <w:jc w:val="center"/>
      </w:pPr>
      <w:r>
        <w:rPr>
          <w:rFonts w:ascii="Calibri" w:hAnsi="Calibri"/>
          <w:b/>
          <w:color w:val="0B2545"/>
          <w:sz w:val="22"/>
        </w:rPr>
        <w:t>Hybrid-first capability parity with progressive local sovereignty</w:t>
      </w:r>
    </w:p>
    <w:p>
      <w:pPr>
        <w:spacing w:after="400"/>
      </w:pPr>
    </w:p>
    <w:p>
      <w:pPr>
        <w:spacing w:after="60"/>
        <w:jc w:val="center"/>
      </w:pPr>
      <w:r>
        <w:t>Status: Founder-approved canonical companion; authority begins with the first merge to main containing this exact revision</w:t>
      </w:r>
    </w:p>
    <w:p>
      <w:pPr>
        <w:spacing w:after="60"/>
        <w:jc w:val="center"/>
      </w:pPr>
      <w:r>
        <w:t>Version: 1.0.0</w:t>
      </w:r>
    </w:p>
    <w:p>
      <w:pPr>
        <w:spacing w:after="60"/>
        <w:jc w:val="center"/>
      </w:pPr>
      <w:r>
        <w:rPr>
          <w:rFonts w:ascii="Calibri" w:hAnsi="Calibri"/>
          <w:b/>
          <w:color w:val="5A6775"/>
          <w:sz w:val="19"/>
        </w:rPr>
        <w:t xml:space="preserve">Recorded: </w:t>
      </w:r>
      <w:r>
        <w:rPr>
          <w:rFonts w:ascii="Calibri" w:hAnsi="Calibri"/>
          <w:color w:val="5A6775"/>
          <w:sz w:val="19"/>
        </w:rPr>
        <w:t>2026-08-08</w:t>
      </w:r>
    </w:p>
    <w:p>
      <w:pPr>
        <w:spacing w:after="60"/>
        <w:jc w:val="center"/>
      </w:pPr>
      <w:r>
        <w:rPr>
          <w:rFonts w:ascii="Calibri" w:hAnsi="Calibri"/>
          <w:b/>
          <w:color w:val="5A6775"/>
          <w:sz w:val="19"/>
        </w:rPr>
        <w:t xml:space="preserve">Permanent owner: </w:t>
      </w:r>
      <w:r>
        <w:rPr>
          <w:rFonts w:ascii="Calibri" w:hAnsi="Calibri"/>
          <w:color w:val="5A6775"/>
          <w:sz w:val="19"/>
        </w:rPr>
        <w:t>Founder and IRIS Core</w:t>
      </w:r>
    </w:p>
    <w:p>
      <w:pPr>
        <w:spacing w:after="60"/>
        <w:jc w:val="center"/>
      </w:pPr>
      <w:r>
        <w:rPr>
          <w:rFonts w:ascii="Calibri" w:hAnsi="Calibri"/>
          <w:b/>
          <w:color w:val="5A6775"/>
          <w:sz w:val="19"/>
        </w:rPr>
        <w:t xml:space="preserve">Baseline: </w:t>
      </w:r>
      <w:r>
        <w:rPr>
          <w:rFonts w:ascii="Calibri" w:hAnsi="Calibri"/>
          <w:color w:val="5A6775"/>
          <w:sz w:val="19"/>
        </w:rPr>
        <w:t>IRIS Core 6367e4547d34092472c672ee93a9e1b2a8e5c80f</w:t>
      </w:r>
    </w:p>
    <w:p>
      <w:pPr>
        <w:spacing w:after="360"/>
      </w:pPr>
    </w:p>
    <w:p>
      <w:pPr>
        <w:spacing w:after="0"/>
        <w:jc w:val="center"/>
      </w:pPr>
      <w:r>
        <w:rPr>
          <w:rFonts w:ascii="Calibri" w:hAnsi="Calibri"/>
          <w:i/>
          <w:color w:val="0B2545"/>
          <w:sz w:val="21"/>
        </w:rPr>
        <w:t>Understanding before expansion. Governance before autonomy. Evidence before completion.</w:t>
      </w:r>
    </w:p>
    <w:p>
      <w:r>
        <w:br w:type="page"/>
      </w:r>
    </w:p>
    <w:p>
      <w:pPr>
        <w:pStyle w:val="Heading1"/>
        <w:keepNext/>
      </w:pPr>
      <w:r>
        <w:t>Program at a glance</w:t>
      </w:r>
    </w:p>
    <w:tbl>
      <w:tblPr>
        <w:tblW w:type="dxa" w:w="9360"/>
        <w:tblLayout w:type="fixed"/>
        <w:tblLook w:firstColumn="1" w:firstRow="1" w:lastColumn="0" w:lastRow="0" w:noHBand="0" w:noVBand="1" w:val="04A0"/>
        <w:tblInd w:w="120" w:type="dxa"/>
      </w:tblPr>
      <w:tblGrid>
        <w:gridCol w:w="1800"/>
        <w:gridCol w:w="3180"/>
        <w:gridCol w:w="4380"/>
      </w:tblGrid>
      <w:tr>
        <w:trPr>
          <w:tblHeader w:val="true"/>
        </w:trPr>
        <w:tc>
          <w:tcPr>
            <w:tcW w:type="dxa" w:w="1800"/>
            <w:vAlign w:val="center"/>
            <w:tcMar>
              <w:top w:w="80" w:type="dxa"/>
              <w:start w:w="120" w:type="dxa"/>
              <w:bottom w:w="80" w:type="dxa"/>
              <w:end w:w="120" w:type="dxa"/>
            </w:tcMar>
            <w:shd w:fill="E8EEF5"/>
          </w:tcPr>
          <w:p>
            <w:pPr>
              <w:jc w:val="center"/>
            </w:pPr>
            <w:r>
              <w:rPr>
                <w:rFonts w:ascii="Calibri" w:hAnsi="Calibri"/>
                <w:b/>
                <w:color w:val="0B2545"/>
                <w:sz w:val="19"/>
              </w:rPr>
              <w:t>Program</w:t>
            </w:r>
          </w:p>
        </w:tc>
        <w:tc>
          <w:tcPr>
            <w:tcW w:type="dxa" w:w="3180"/>
            <w:vAlign w:val="center"/>
            <w:tcMar>
              <w:top w:w="80" w:type="dxa"/>
              <w:start w:w="120" w:type="dxa"/>
              <w:bottom w:w="80" w:type="dxa"/>
              <w:end w:w="120" w:type="dxa"/>
            </w:tcMar>
            <w:shd w:fill="E8EEF5"/>
          </w:tcPr>
          <w:p>
            <w:pPr>
              <w:jc w:val="center"/>
            </w:pPr>
            <w:r>
              <w:rPr>
                <w:rFonts w:ascii="Calibri" w:hAnsi="Calibri"/>
                <w:b/>
                <w:color w:val="0B2545"/>
                <w:sz w:val="19"/>
              </w:rPr>
              <w:t>Purpose</w:t>
            </w:r>
          </w:p>
        </w:tc>
        <w:tc>
          <w:tcPr>
            <w:tcW w:type="dxa" w:w="4380"/>
            <w:vAlign w:val="center"/>
            <w:tcMar>
              <w:top w:w="80" w:type="dxa"/>
              <w:start w:w="120" w:type="dxa"/>
              <w:bottom w:w="80" w:type="dxa"/>
              <w:end w:w="120" w:type="dxa"/>
            </w:tcMar>
            <w:shd w:fill="E8EEF5"/>
          </w:tcPr>
          <w:p>
            <w:pPr>
              <w:jc w:val="center"/>
            </w:pPr>
            <w:r>
              <w:rPr>
                <w:rFonts w:ascii="Calibri" w:hAnsi="Calibri"/>
                <w:b/>
                <w:color w:val="0B2545"/>
                <w:sz w:val="19"/>
              </w:rPr>
              <w:t>Completion signal</w:t>
            </w:r>
          </w:p>
        </w:tc>
      </w:tr>
      <w:tr>
        <w:tc>
          <w:tcPr>
            <w:tcW w:type="dxa" w:w="1800"/>
            <w:vAlign w:val="center"/>
            <w:tcMar>
              <w:top w:w="80" w:type="dxa"/>
              <w:start w:w="120" w:type="dxa"/>
              <w:bottom w:w="80" w:type="dxa"/>
              <w:end w:w="120" w:type="dxa"/>
            </w:tcMar>
          </w:tcPr>
          <w:p>
            <w:pPr>
              <w:spacing w:before="40" w:after="40"/>
            </w:pPr>
            <w:r>
              <w:rPr>
                <w:rFonts w:ascii="Calibri" w:hAnsi="Calibri"/>
                <w:b/>
                <w:color w:val="19202A"/>
                <w:sz w:val="18"/>
              </w:rPr>
              <w:t>Existing foundation</w:t>
            </w:r>
          </w:p>
        </w:tc>
        <w:tc>
          <w:tcPr>
            <w:tcW w:type="dxa" w:w="3180"/>
            <w:vAlign w:val="center"/>
            <w:tcMar>
              <w:top w:w="80" w:type="dxa"/>
              <w:start w:w="120" w:type="dxa"/>
              <w:bottom w:w="80" w:type="dxa"/>
              <w:end w:w="120" w:type="dxa"/>
            </w:tcMar>
          </w:tcPr>
          <w:p>
            <w:pPr>
              <w:spacing w:before="40" w:after="40"/>
            </w:pPr>
            <w:r>
              <w:rPr>
                <w:rFonts w:ascii="Calibri" w:hAnsi="Calibri"/>
                <w:b w:val="0"/>
                <w:color w:val="19202A"/>
                <w:sz w:val="18"/>
              </w:rPr>
              <w:t>Preserve Phase 0, Waves 0-12, and Cycles Eight-Twelve.</w:t>
            </w:r>
          </w:p>
        </w:tc>
        <w:tc>
          <w:tcPr>
            <w:tcW w:type="dxa" w:w="4380"/>
            <w:vAlign w:val="center"/>
            <w:tcMar>
              <w:top w:w="80" w:type="dxa"/>
              <w:start w:w="120" w:type="dxa"/>
              <w:bottom w:w="80" w:type="dxa"/>
              <w:end w:w="120" w:type="dxa"/>
            </w:tcMar>
          </w:tcPr>
          <w:p>
            <w:pPr>
              <w:spacing w:before="40" w:after="40"/>
            </w:pPr>
            <w:r>
              <w:rPr>
                <w:rFonts w:ascii="Calibri" w:hAnsi="Calibri"/>
                <w:b w:val="0"/>
                <w:color w:val="19202A"/>
                <w:sz w:val="18"/>
              </w:rPr>
              <w:t>Canonical foundations remain intact.</w:t>
            </w:r>
          </w:p>
        </w:tc>
      </w:tr>
      <w:tr>
        <w:tc>
          <w:tcPr>
            <w:tcW w:type="dxa" w:w="1800"/>
            <w:vAlign w:val="center"/>
            <w:tcMar>
              <w:top w:w="80" w:type="dxa"/>
              <w:start w:w="120" w:type="dxa"/>
              <w:bottom w:w="80" w:type="dxa"/>
              <w:end w:w="120" w:type="dxa"/>
            </w:tcMar>
          </w:tcPr>
          <w:p>
            <w:pPr>
              <w:spacing w:before="40" w:after="40"/>
            </w:pPr>
            <w:r>
              <w:rPr>
                <w:rFonts w:ascii="Calibri" w:hAnsi="Calibri"/>
                <w:b/>
                <w:color w:val="19202A"/>
                <w:sz w:val="18"/>
              </w:rPr>
              <w:t>Phase 2</w:t>
            </w:r>
          </w:p>
        </w:tc>
        <w:tc>
          <w:tcPr>
            <w:tcW w:type="dxa" w:w="3180"/>
            <w:vAlign w:val="center"/>
            <w:tcMar>
              <w:top w:w="80" w:type="dxa"/>
              <w:start w:w="120" w:type="dxa"/>
              <w:bottom w:w="80" w:type="dxa"/>
              <w:end w:w="120" w:type="dxa"/>
            </w:tcMar>
          </w:tcPr>
          <w:p>
            <w:pPr>
              <w:spacing w:before="40" w:after="40"/>
            </w:pPr>
            <w:r>
              <w:rPr>
                <w:rFonts w:ascii="Calibri" w:hAnsi="Calibri"/>
                <w:b w:val="0"/>
                <w:color w:val="19202A"/>
                <w:sz w:val="18"/>
              </w:rPr>
              <w:t>IRIS learns and leads ordinary development, adapters, research, and web production.</w:t>
            </w:r>
          </w:p>
        </w:tc>
        <w:tc>
          <w:tcPr>
            <w:tcW w:type="dxa" w:w="4380"/>
            <w:vAlign w:val="center"/>
            <w:tcMar>
              <w:top w:w="80" w:type="dxa"/>
              <w:start w:w="120" w:type="dxa"/>
              <w:bottom w:w="80" w:type="dxa"/>
              <w:end w:w="120" w:type="dxa"/>
            </w:tcMar>
          </w:tcPr>
          <w:p>
            <w:pPr>
              <w:spacing w:before="40" w:after="40"/>
            </w:pPr>
            <w:r>
              <w:rPr>
                <w:rFonts w:ascii="Calibri" w:hAnsi="Calibri"/>
                <w:b w:val="0"/>
                <w:color w:val="19202A"/>
                <w:sz w:val="18"/>
              </w:rPr>
              <w:t>Held-out work passes with Codex audit-only.</w:t>
            </w:r>
          </w:p>
        </w:tc>
      </w:tr>
      <w:tr>
        <w:tc>
          <w:tcPr>
            <w:tcW w:type="dxa" w:w="1800"/>
            <w:vAlign w:val="center"/>
            <w:tcMar>
              <w:top w:w="80" w:type="dxa"/>
              <w:start w:w="120" w:type="dxa"/>
              <w:bottom w:w="80" w:type="dxa"/>
              <w:end w:w="120" w:type="dxa"/>
            </w:tcMar>
          </w:tcPr>
          <w:p>
            <w:pPr>
              <w:spacing w:before="40" w:after="40"/>
            </w:pPr>
            <w:r>
              <w:rPr>
                <w:rFonts w:ascii="Calibri" w:hAnsi="Calibri"/>
                <w:b/>
                <w:color w:val="19202A"/>
                <w:sz w:val="18"/>
              </w:rPr>
              <w:t>Phase 3</w:t>
            </w:r>
          </w:p>
        </w:tc>
        <w:tc>
          <w:tcPr>
            <w:tcW w:type="dxa" w:w="3180"/>
            <w:vAlign w:val="center"/>
            <w:tcMar>
              <w:top w:w="80" w:type="dxa"/>
              <w:start w:w="120" w:type="dxa"/>
              <w:bottom w:w="80" w:type="dxa"/>
              <w:end w:w="120" w:type="dxa"/>
            </w:tcMar>
          </w:tcPr>
          <w:p>
            <w:pPr>
              <w:spacing w:before="40" w:after="40"/>
            </w:pPr>
            <w:r>
              <w:rPr>
                <w:rFonts w:ascii="Calibri" w:hAnsi="Calibri"/>
                <w:b w:val="0"/>
                <w:color w:val="19202A"/>
                <w:sz w:val="18"/>
              </w:rPr>
              <w:t>IRIS creates and supervises a certified worker fleet and improves herself.</w:t>
            </w:r>
          </w:p>
        </w:tc>
        <w:tc>
          <w:tcPr>
            <w:tcW w:type="dxa" w:w="4380"/>
            <w:vAlign w:val="center"/>
            <w:tcMar>
              <w:top w:w="80" w:type="dxa"/>
              <w:start w:w="120" w:type="dxa"/>
              <w:bottom w:w="80" w:type="dxa"/>
              <w:end w:w="120" w:type="dxa"/>
            </w:tcMar>
          </w:tcPr>
          <w:p>
            <w:pPr>
              <w:spacing w:before="40" w:after="40"/>
            </w:pPr>
            <w:r>
              <w:rPr>
                <w:rFonts w:ascii="Calibri" w:hAnsi="Calibri"/>
                <w:b w:val="0"/>
                <w:color w:val="19202A"/>
                <w:sz w:val="18"/>
              </w:rPr>
              <w:t>Workers and self-improvements pass lifecycle certification.</w:t>
            </w:r>
          </w:p>
        </w:tc>
      </w:tr>
    </w:tbl>
    <w:p>
      <w:pPr>
        <w:spacing w:before="80" w:after="200"/>
      </w:pPr>
      <w:r>
        <w:rPr>
          <w:rFonts w:ascii="Calibri" w:hAnsi="Calibri"/>
          <w:i/>
          <w:color w:val="5A6775"/>
          <w:sz w:val="18"/>
        </w:rPr>
        <w:t>This Charter is additive and does not itself claim the permanent Phase 0 graduation gate has passed.</w:t>
      </w:r>
    </w:p>
    <w:p>
      <w:pPr>
        <w:pStyle w:val="Heading1"/>
      </w:pPr>
      <w:r>
        <w:t>1. Authority and relationship to the founding sources</w:t>
      </w:r>
    </w:p>
    <w:p>
      <w:pPr>
        <w:widowControl/>
      </w:pPr>
      <w:r>
        <w:rPr>
          <w:rFonts w:ascii="Calibri" w:hAnsi="Calibri"/>
        </w:rPr>
        <w:t>This Charter is an additive companion to the STOIC-IRIS Master Build Bible Volume I, Governing Architecture, Canonical Development Roadmap, Constitution, approved governance, and checked-in repository evidence. It does not delete, rename, weaken, reinterpret, or silently supersede any existing Phase 0, wave, release, cycle, capability, security boundary, or evidence record.</w:t>
      </w:r>
    </w:p>
    <w:p>
      <w:pPr>
        <w:widowControl/>
      </w:pPr>
      <w:r>
        <w:rPr>
          <w:rFonts w:ascii="Calibri" w:hAnsi="Calibri"/>
        </w:rPr>
        <w:t>The original founding sources remain authoritative. This Charter supplies the more specific operating direction for the post-foundation capability program named Phase 2 and Phase 3 below. If this Charter appears to conflict with an earlier canonical source, implementation stops and the Founder receives the exact conflict. No model, summary, worker, adapter, conversation, or provider may resolve the conflict silently.</w:t>
      </w:r>
    </w:p>
    <w:p>
      <w:pPr>
        <w:widowControl/>
      </w:pPr>
      <w:r>
        <w:rPr>
          <w:rFonts w:ascii="Calibri" w:hAnsi="Calibri"/>
        </w:rPr>
        <w:t>The authority order is:</w:t>
      </w:r>
    </w:p>
    <w:p>
      <w:pPr>
        <w:spacing w:after="80" w:line="300" w:lineRule="auto"/>
        <w:ind w:left="490" w:hanging="360"/>
      </w:pPr>
      <w:r>
        <w:rPr>
          <w:rFonts w:ascii="Calibri" w:hAnsi="Calibri"/>
          <w:color w:val="1F4D78"/>
        </w:rPr>
        <w:t xml:space="preserve">1.  </w:t>
      </w:r>
      <w:r>
        <w:rPr>
          <w:rFonts w:ascii="Calibri" w:hAnsi="Calibri"/>
        </w:rPr>
        <w:t>the Founder's current explicit instruction;</w:t>
      </w:r>
    </w:p>
    <w:p>
      <w:pPr>
        <w:spacing w:after="80" w:line="300" w:lineRule="auto"/>
        <w:ind w:left="490" w:hanging="360"/>
      </w:pPr>
      <w:r>
        <w:rPr>
          <w:rFonts w:ascii="Calibri" w:hAnsi="Calibri"/>
          <w:color w:val="1F4D78"/>
        </w:rPr>
        <w:t xml:space="preserve">2.  </w:t>
      </w:r>
      <w:r>
        <w:rPr>
          <w:rFonts w:ascii="Calibri" w:hAnsi="Calibri"/>
        </w:rPr>
        <w:t>canonical checked-in governance, including the founding sources and this Charter after approval and publication;</w:t>
      </w:r>
    </w:p>
    <w:p>
      <w:pPr>
        <w:spacing w:after="80" w:line="300" w:lineRule="auto"/>
        <w:ind w:left="490" w:hanging="360"/>
      </w:pPr>
      <w:r>
        <w:rPr>
          <w:rFonts w:ascii="Calibri" w:hAnsi="Calibri"/>
          <w:color w:val="1F4D78"/>
        </w:rPr>
        <w:t xml:space="preserve">3.  </w:t>
      </w:r>
      <w:r>
        <w:rPr>
          <w:rFonts w:ascii="Calibri" w:hAnsi="Calibri"/>
        </w:rPr>
        <w:t>exact approved task, proposal, handoff, review, and evidence records;</w:t>
      </w:r>
    </w:p>
    <w:p>
      <w:pPr>
        <w:spacing w:after="80" w:line="300" w:lineRule="auto"/>
        <w:ind w:left="490" w:hanging="360"/>
      </w:pPr>
      <w:r>
        <w:rPr>
          <w:rFonts w:ascii="Calibri" w:hAnsi="Calibri"/>
          <w:color w:val="1F4D78"/>
        </w:rPr>
        <w:t xml:space="preserve">4.  </w:t>
      </w:r>
      <w:r>
        <w:rPr>
          <w:rFonts w:ascii="Calibri" w:hAnsi="Calibri"/>
        </w:rPr>
        <w:t>verified repository, runtime, provider, and system state;</w:t>
      </w:r>
    </w:p>
    <w:p>
      <w:pPr>
        <w:spacing w:after="80" w:line="300" w:lineRule="auto"/>
        <w:ind w:left="490" w:hanging="360"/>
      </w:pPr>
      <w:r>
        <w:rPr>
          <w:rFonts w:ascii="Calibri" w:hAnsi="Calibri"/>
          <w:color w:val="1F4D78"/>
        </w:rPr>
        <w:t xml:space="preserve">5.  </w:t>
      </w:r>
      <w:r>
        <w:rPr>
          <w:rFonts w:ascii="Calibri" w:hAnsi="Calibri"/>
        </w:rPr>
        <w:t>prior conversations and model memory as supporting context only.</w:t>
      </w:r>
    </w:p>
    <w:p>
      <w:pPr>
        <w:widowControl/>
      </w:pPr>
      <w:r>
        <w:rPr>
          <w:rFonts w:ascii="Calibri" w:hAnsi="Calibri"/>
        </w:rPr>
        <w:t>The checked-in Markdown file is the machine-readable canonical copy. The DOCX is the synchronized human-readable source copy for the Founder, ChatGPT project Sources, and long-form review. A material mismatch between the two copies is a blocker.</w:t>
      </w:r>
    </w:p>
    <w:p>
      <w:pPr>
        <w:pStyle w:val="Heading1"/>
      </w:pPr>
      <w:r>
        <w:t>2. Permanent mission</w:t>
      </w:r>
    </w:p>
    <w:p>
      <w:pPr>
        <w:widowControl/>
      </w:pPr>
      <w:r>
        <w:rPr>
          <w:rFonts w:ascii="Calibri" w:hAnsi="Calibri"/>
        </w:rPr>
        <w:t>IRIS will become the Founder-operated sovereign cognitive platform that can perform approved ordinary work with capabilities comparable to Codex, source-grounded research systems, and modern browser-based software-production tools while retaining IRIS-owned identity, memory, governance, planning, approvals, evidence, and coordination.</w:t>
      </w:r>
    </w:p>
    <w:p>
      <w:pPr>
        <w:widowControl/>
      </w:pPr>
      <w:r>
        <w:rPr>
          <w:rFonts w:ascii="Calibri" w:hAnsi="Calibri"/>
        </w:rPr>
        <w:t>Parity is measured behaviorally. It is not a claim that one local model internally becomes the same product or model as Codex, OpenAI, Perplexity, or any other provider. IRIS reaches parity through an owned system of replaceable models, deterministic tools, adapters, workers, verification, recovery, and evidence.</w:t>
      </w:r>
    </w:p>
    <w:p>
      <w:pPr>
        <w:widowControl/>
      </w:pPr>
      <w:r>
        <w:rPr>
          <w:rFonts w:ascii="Calibri" w:hAnsi="Calibri"/>
        </w:rPr>
        <w:t>The target operating pattern is:</w:t>
      </w:r>
    </w:p>
    <w:p>
      <w:pPr>
        <w:widowControl/>
        <w:spacing w:before="120" w:after="200"/>
        <w:jc w:val="center"/>
      </w:pPr>
      <w:r>
        <w:rPr>
          <w:rStyle w:val="IRISCode"/>
        </w:rPr>
        <w:t>Founder objective -&gt; IRIS plan -&gt; capability preflight -&gt; model and worker routing -&gt; governed execution -&gt; independent verification -&gt; repair -&gt; delivery -&gt; evidence -&gt; canonical learning</w:t>
      </w:r>
    </w:p>
    <w:p>
      <w:pPr>
        <w:pStyle w:val="Heading1"/>
      </w:pPr>
      <w:r>
        <w:t>3. Program names and boundaries</w:t>
      </w:r>
    </w:p>
    <w:p>
      <w:pPr>
        <w:pStyle w:val="Heading2"/>
      </w:pPr>
      <w:r>
        <w:t>3.1 Existing foundation</w:t>
      </w:r>
    </w:p>
    <w:p>
      <w:pPr>
        <w:widowControl/>
      </w:pPr>
      <w:r>
        <w:rPr>
          <w:rFonts w:ascii="Calibri" w:hAnsi="Calibri"/>
        </w:rPr>
        <w:t>Phase 0, Waves 0-12, and additive Cycles Eight-Twelve remain intact. They provide the governance, model gateway, memory, orchestration, research, executable-worker, delivery, desktop, self-repair, worker-foundry, and certification foundations used by this Charter.</w:t>
      </w:r>
    </w:p>
    <w:p>
      <w:pPr>
        <w:widowControl/>
      </w:pPr>
      <w:r>
        <w:rPr>
          <w:rFonts w:ascii="Calibri" w:hAnsi="Calibri"/>
        </w:rPr>
        <w:t>This Charter does not by itself satisfy or replace the separately evidence-bound permanent Phase 0 Development Independence gate. That gate retains its exact canonical requirements, including a genuine Founder-operated multi-file self-upgrade performed by IRIS while Codex and other external coding agents are audit-only.</w:t>
      </w:r>
    </w:p>
    <w:p>
      <w:pPr>
        <w:pStyle w:val="Heading2"/>
      </w:pPr>
      <w:r>
        <w:t>3.2 Phase 2 - Supervised Development Partnership</w:t>
      </w:r>
    </w:p>
    <w:p>
      <w:pPr>
        <w:widowControl/>
      </w:pPr>
      <w:r>
        <w:rPr>
          <w:rFonts w:ascii="Calibri" w:hAnsi="Calibri"/>
        </w:rPr>
        <w:t>Phase 2 makes IRIS a capable co-developer that learns the complete development and adapter lifecycle by working beside Codex, then progressively taking the lead.</w:t>
      </w:r>
    </w:p>
    <w:p>
      <w:pPr>
        <w:pStyle w:val="Heading2"/>
      </w:pPr>
      <w:r>
        <w:t>3.3 Phase 3 - Worker Foundry and Continuous Evolution</w:t>
      </w:r>
    </w:p>
    <w:p>
      <w:pPr>
        <w:widowControl/>
      </w:pPr>
      <w:r>
        <w:rPr>
          <w:rFonts w:ascii="Calibri" w:hAnsi="Calibri"/>
        </w:rPr>
        <w:t>Phase 3 makes IRIS the supervisor and maintainer of a certified worker fleet. IRIS creates, evaluates, routes, corrects, improves, pauses, resumes, and retires workers while also proposing and performing governed improvements to her own platform.</w:t>
      </w:r>
    </w:p>
    <w:p>
      <w:pPr>
        <w:pStyle w:val="Heading1"/>
      </w:pPr>
      <w:r>
        <w:t>4. Binding architecture decision: hybrid-first sovereignty</w:t>
      </w:r>
    </w:p>
    <w:p>
      <w:pPr>
        <w:widowControl/>
      </w:pPr>
      <w:r>
        <w:rPr>
          <w:rFonts w:ascii="Calibri" w:hAnsi="Calibri"/>
        </w:rPr>
        <w:t>IRIS uses local models by default and may use governed frontier specialists when local capability, confidence, context, or verification is insufficient. External models are replaceable reasoning providers. They never own IRIS identity, canonical memory, Founder preferences, governance, approvals, audit, worker identity, or permanent product behavior.</w:t>
      </w:r>
    </w:p>
    <w:p>
      <w:pPr>
        <w:widowControl/>
      </w:pPr>
      <w:r>
        <w:rPr>
          <w:rFonts w:ascii="Calibri" w:hAnsi="Calibri"/>
        </w:rPr>
        <w:t>Every model call binds:</w:t>
      </w:r>
    </w:p>
    <w:p>
      <w:pPr>
        <w:spacing w:after="80" w:line="300" w:lineRule="auto"/>
        <w:ind w:left="490" w:hanging="360"/>
      </w:pPr>
      <w:r>
        <w:rPr>
          <w:rFonts w:ascii="Calibri" w:hAnsi="Calibri"/>
          <w:color w:val="1F4D78"/>
        </w:rPr>
        <w:t xml:space="preserve">•  </w:t>
      </w:r>
      <w:r>
        <w:rPr>
          <w:rFonts w:ascii="Calibri" w:hAnsi="Calibri"/>
        </w:rPr>
        <w:t>an IRIS-owned task and objective;</w:t>
      </w:r>
    </w:p>
    <w:p>
      <w:pPr>
        <w:spacing w:after="80" w:line="300" w:lineRule="auto"/>
        <w:ind w:left="490" w:hanging="360"/>
      </w:pPr>
      <w:r>
        <w:rPr>
          <w:rFonts w:ascii="Calibri" w:hAnsi="Calibri"/>
          <w:color w:val="1F4D78"/>
        </w:rPr>
        <w:t xml:space="preserve">•  </w:t>
      </w:r>
      <w:r>
        <w:rPr>
          <w:rFonts w:ascii="Calibri" w:hAnsi="Calibri"/>
        </w:rPr>
        <w:t>the selected role, model identity, adapter, and policy revision;</w:t>
      </w:r>
    </w:p>
    <w:p>
      <w:pPr>
        <w:spacing w:after="80" w:line="300" w:lineRule="auto"/>
        <w:ind w:left="490" w:hanging="360"/>
      </w:pPr>
      <w:r>
        <w:rPr>
          <w:rFonts w:ascii="Calibri" w:hAnsi="Calibri"/>
          <w:color w:val="1F4D78"/>
        </w:rPr>
        <w:t xml:space="preserve">•  </w:t>
      </w:r>
      <w:r>
        <w:rPr>
          <w:rFonts w:ascii="Calibri" w:hAnsi="Calibri"/>
        </w:rPr>
        <w:t>minimum necessary task-scoped context;</w:t>
      </w:r>
    </w:p>
    <w:p>
      <w:pPr>
        <w:spacing w:after="80" w:line="300" w:lineRule="auto"/>
        <w:ind w:left="490" w:hanging="360"/>
      </w:pPr>
      <w:r>
        <w:rPr>
          <w:rFonts w:ascii="Calibri" w:hAnsi="Calibri"/>
          <w:color w:val="1F4D78"/>
        </w:rPr>
        <w:t xml:space="preserve">•  </w:t>
      </w:r>
      <w:r>
        <w:rPr>
          <w:rFonts w:ascii="Calibri" w:hAnsi="Calibri"/>
        </w:rPr>
        <w:t>tool and data boundaries;</w:t>
      </w:r>
    </w:p>
    <w:p>
      <w:pPr>
        <w:spacing w:after="80" w:line="300" w:lineRule="auto"/>
        <w:ind w:left="490" w:hanging="360"/>
      </w:pPr>
      <w:r>
        <w:rPr>
          <w:rFonts w:ascii="Calibri" w:hAnsi="Calibri"/>
          <w:color w:val="1F4D78"/>
        </w:rPr>
        <w:t xml:space="preserve">•  </w:t>
      </w:r>
      <w:r>
        <w:rPr>
          <w:rFonts w:ascii="Calibri" w:hAnsi="Calibri"/>
        </w:rPr>
        <w:t>cost, latency, and privacy classification;</w:t>
      </w:r>
    </w:p>
    <w:p>
      <w:pPr>
        <w:spacing w:after="80" w:line="300" w:lineRule="auto"/>
        <w:ind w:left="490" w:hanging="360"/>
      </w:pPr>
      <w:r>
        <w:rPr>
          <w:rFonts w:ascii="Calibri" w:hAnsi="Calibri"/>
          <w:color w:val="1F4D78"/>
        </w:rPr>
        <w:t xml:space="preserve">•  </w:t>
      </w:r>
      <w:r>
        <w:rPr>
          <w:rFonts w:ascii="Calibri" w:hAnsi="Calibri"/>
        </w:rPr>
        <w:t>structured output and verification requirements;</w:t>
      </w:r>
    </w:p>
    <w:p>
      <w:pPr>
        <w:spacing w:after="80" w:line="300" w:lineRule="auto"/>
        <w:ind w:left="490" w:hanging="360"/>
      </w:pPr>
      <w:r>
        <w:rPr>
          <w:rFonts w:ascii="Calibri" w:hAnsi="Calibri"/>
          <w:color w:val="1F4D78"/>
        </w:rPr>
        <w:t xml:space="preserve">•  </w:t>
      </w:r>
      <w:r>
        <w:rPr>
          <w:rFonts w:ascii="Calibri" w:hAnsi="Calibri"/>
        </w:rPr>
        <w:t>cancellation, timeout, fallback, and failure behavior; and</w:t>
      </w:r>
    </w:p>
    <w:p>
      <w:pPr>
        <w:spacing w:after="80" w:line="300" w:lineRule="auto"/>
        <w:ind w:left="490" w:hanging="360"/>
      </w:pPr>
      <w:r>
        <w:rPr>
          <w:rFonts w:ascii="Calibri" w:hAnsi="Calibri"/>
          <w:color w:val="1F4D78"/>
        </w:rPr>
        <w:t xml:space="preserve">•  </w:t>
      </w:r>
      <w:r>
        <w:rPr>
          <w:rFonts w:ascii="Calibri" w:hAnsi="Calibri"/>
        </w:rPr>
        <w:t>evidence sufficient to reproduce or explain the decision.</w:t>
      </w:r>
    </w:p>
    <w:p>
      <w:pPr>
        <w:widowControl/>
      </w:pPr>
      <w:r>
        <w:rPr>
          <w:rFonts w:ascii="Calibri" w:hAnsi="Calibri"/>
        </w:rPr>
        <w:t>Model routing must prefer the least costly and most sovereign provider that can meet the verified quality target. High difficulty, repeated local failure, long-context requirements, or independent-review needs may escalate to a frontier specialist under the same IRIS-owned contract. Provider availability never creates authority.</w:t>
      </w:r>
    </w:p>
    <w:p>
      <w:pPr>
        <w:widowControl/>
      </w:pPr>
      <w:r>
        <w:rPr>
          <w:rFonts w:ascii="Calibri" w:hAnsi="Calibri"/>
        </w:rPr>
        <w:t>The long-term objective is progressive local replacement: successful external patterns become evaluation data, skills, deterministic tools, or IRIS-native implementations when licensing and evidence permit. External private reasoning, source code, identity, or proprietary product behavior is not copied into IRIS.</w:t>
      </w:r>
    </w:p>
    <w:p>
      <w:pPr>
        <w:pStyle w:val="Heading1"/>
      </w:pPr>
      <w:r>
        <w:t>5. Phase 2 operating model</w:t>
      </w:r>
    </w:p>
    <w:p>
      <w:pPr>
        <w:pStyle w:val="Heading2"/>
      </w:pPr>
      <w:r>
        <w:t>5.1 Promotion ladder</w:t>
      </w:r>
    </w:p>
    <w:p>
      <w:pPr>
        <w:widowControl/>
      </w:pPr>
      <w:r>
        <w:rPr>
          <w:rFonts w:ascii="Calibri" w:hAnsi="Calibri"/>
        </w:rPr>
        <w:t>IRIS advances by evidence, not by elapsed time or feature count.</w:t>
      </w:r>
    </w:p>
    <w:p>
      <w:pPr>
        <w:spacing w:after="80" w:line="300" w:lineRule="auto"/>
        <w:ind w:left="490" w:hanging="360"/>
      </w:pPr>
      <w:r>
        <w:rPr>
          <w:rFonts w:ascii="Calibri" w:hAnsi="Calibri"/>
          <w:color w:val="1F4D78"/>
        </w:rPr>
        <w:t xml:space="preserve">1.  </w:t>
      </w:r>
      <w:r>
        <w:rPr>
          <w:rFonts w:ascii="Calibri" w:hAnsi="Calibri"/>
          <w:b/>
        </w:rPr>
        <w:t>Observe:</w:t>
      </w:r>
      <w:r>
        <w:rPr>
          <w:rFonts w:ascii="Calibri" w:hAnsi="Calibri"/>
        </w:rPr>
        <w:t xml:space="preserve"> IRIS receives a redacted demonstration trace of the objective, plan, tools, commands, changes, tests, failures, repairs, review findings, and final evidence.</w:t>
      </w:r>
    </w:p>
    <w:p>
      <w:pPr>
        <w:spacing w:after="80" w:line="300" w:lineRule="auto"/>
        <w:ind w:left="490" w:hanging="360"/>
      </w:pPr>
      <w:r>
        <w:rPr>
          <w:rFonts w:ascii="Calibri" w:hAnsi="Calibri"/>
          <w:color w:val="1F4D78"/>
        </w:rPr>
        <w:t xml:space="preserve">2.  </w:t>
      </w:r>
      <w:r>
        <w:rPr>
          <w:rFonts w:ascii="Calibri" w:hAnsi="Calibri"/>
          <w:b/>
        </w:rPr>
        <w:t>Shadow:</w:t>
      </w:r>
      <w:r>
        <w:rPr>
          <w:rFonts w:ascii="Calibri" w:hAnsi="Calibri"/>
        </w:rPr>
        <w:t xml:space="preserve"> IRIS independently prepares the plan, predicted actions, expected outputs, risks, and rollback without affecting the active task. Differences from the trainer result are scored.</w:t>
      </w:r>
    </w:p>
    <w:p>
      <w:pPr>
        <w:spacing w:after="80" w:line="300" w:lineRule="auto"/>
        <w:ind w:left="490" w:hanging="360"/>
      </w:pPr>
      <w:r>
        <w:rPr>
          <w:rFonts w:ascii="Calibri" w:hAnsi="Calibri"/>
          <w:color w:val="1F4D78"/>
        </w:rPr>
        <w:t xml:space="preserve">3.  </w:t>
      </w:r>
      <w:r>
        <w:rPr>
          <w:rFonts w:ascii="Calibri" w:hAnsi="Calibri"/>
          <w:b/>
        </w:rPr>
        <w:t>Propose:</w:t>
      </w:r>
      <w:r>
        <w:rPr>
          <w:rFonts w:ascii="Calibri" w:hAnsi="Calibri"/>
        </w:rPr>
        <w:t xml:space="preserve"> IRIS produces the exact bounded proposal, capability preflight, acceptance checks, and approval statement. No effect occurs.</w:t>
      </w:r>
    </w:p>
    <w:p>
      <w:pPr>
        <w:spacing w:after="80" w:line="300" w:lineRule="auto"/>
        <w:ind w:left="490" w:hanging="360"/>
      </w:pPr>
      <w:r>
        <w:rPr>
          <w:rFonts w:ascii="Calibri" w:hAnsi="Calibri"/>
          <w:color w:val="1F4D78"/>
        </w:rPr>
        <w:t xml:space="preserve">4.  </w:t>
      </w:r>
      <w:r>
        <w:rPr>
          <w:rFonts w:ascii="Calibri" w:hAnsi="Calibri"/>
          <w:b/>
        </w:rPr>
        <w:t>Execute under supervision:</w:t>
      </w:r>
      <w:r>
        <w:rPr>
          <w:rFonts w:ascii="Calibri" w:hAnsi="Calibri"/>
        </w:rPr>
        <w:t xml:space="preserve"> After exact approval, IRIS operates inside a disposable workspace. Codex observes, reviews evidence, and intervenes only when a stop condition is reached.</w:t>
      </w:r>
    </w:p>
    <w:p>
      <w:pPr>
        <w:spacing w:after="80" w:line="300" w:lineRule="auto"/>
        <w:ind w:left="490" w:hanging="360"/>
      </w:pPr>
      <w:r>
        <w:rPr>
          <w:rFonts w:ascii="Calibri" w:hAnsi="Calibri"/>
          <w:color w:val="1F4D78"/>
        </w:rPr>
        <w:t xml:space="preserve">5.  </w:t>
      </w:r>
      <w:r>
        <w:rPr>
          <w:rFonts w:ascii="Calibri" w:hAnsi="Calibri"/>
          <w:b/>
        </w:rPr>
        <w:t>Lead with audit-only review:</w:t>
      </w:r>
      <w:r>
        <w:rPr>
          <w:rFonts w:ascii="Calibri" w:hAnsi="Calibri"/>
        </w:rPr>
        <w:t xml:space="preserve"> IRIS plans, executes, verifies, repairs, and prepares delivery. Codex or another independent reviewer makes no implementation changes and evaluates only the exact result.</w:t>
      </w:r>
    </w:p>
    <w:p>
      <w:pPr>
        <w:spacing w:after="80" w:line="300" w:lineRule="auto"/>
        <w:ind w:left="490" w:hanging="360"/>
      </w:pPr>
      <w:r>
        <w:rPr>
          <w:rFonts w:ascii="Calibri" w:hAnsi="Calibri"/>
          <w:color w:val="1F4D78"/>
        </w:rPr>
        <w:t xml:space="preserve">6.  </w:t>
      </w:r>
      <w:r>
        <w:rPr>
          <w:rFonts w:ascii="Calibri" w:hAnsi="Calibri"/>
          <w:b/>
        </w:rPr>
        <w:t>Certified ordinary independence:</w:t>
      </w:r>
      <w:r>
        <w:rPr>
          <w:rFonts w:ascii="Calibri" w:hAnsi="Calibri"/>
        </w:rPr>
        <w:t xml:space="preserve"> IRIS performs approved ordinary work without a coding-agent dependency while protected effects remain separately gated.</w:t>
      </w:r>
    </w:p>
    <w:p>
      <w:pPr>
        <w:widowControl/>
      </w:pPr>
      <w:r>
        <w:rPr>
          <w:rFonts w:ascii="Calibri" w:hAnsi="Calibri"/>
        </w:rPr>
        <w:t>Promotion is capability-specific. Passing research does not grant coding, desktop, repository-delivery, credential, deployment, or spending authority.</w:t>
      </w:r>
    </w:p>
    <w:p>
      <w:pPr>
        <w:pStyle w:val="Heading2"/>
      </w:pPr>
      <w:r>
        <w:t>5.2 Demonstration and teaching records</w:t>
      </w:r>
    </w:p>
    <w:p>
      <w:pPr>
        <w:widowControl/>
      </w:pPr>
      <w:r>
        <w:rPr>
          <w:rFonts w:ascii="Calibri" w:hAnsi="Calibri"/>
        </w:rPr>
        <w:t>Every teaching record must preserve:</w:t>
      </w:r>
    </w:p>
    <w:p>
      <w:pPr>
        <w:spacing w:after="80" w:line="300" w:lineRule="auto"/>
        <w:ind w:left="490" w:hanging="360"/>
      </w:pPr>
      <w:r>
        <w:rPr>
          <w:rFonts w:ascii="Calibri" w:hAnsi="Calibri"/>
          <w:color w:val="1F4D78"/>
        </w:rPr>
        <w:t xml:space="preserve">•  </w:t>
      </w:r>
      <w:r>
        <w:rPr>
          <w:rFonts w:ascii="Calibri" w:hAnsi="Calibri"/>
        </w:rPr>
        <w:t>objective, repository, revision, allowed paths, and completion criteria;</w:t>
      </w:r>
    </w:p>
    <w:p>
      <w:pPr>
        <w:spacing w:after="80" w:line="300" w:lineRule="auto"/>
        <w:ind w:left="490" w:hanging="360"/>
      </w:pPr>
      <w:r>
        <w:rPr>
          <w:rFonts w:ascii="Calibri" w:hAnsi="Calibri"/>
          <w:color w:val="1F4D78"/>
        </w:rPr>
        <w:t xml:space="preserve">•  </w:t>
      </w:r>
      <w:r>
        <w:rPr>
          <w:rFonts w:ascii="Calibri" w:hAnsi="Calibri"/>
        </w:rPr>
        <w:t>why the approach was selected and which alternatives were rejected;</w:t>
      </w:r>
    </w:p>
    <w:p>
      <w:pPr>
        <w:spacing w:after="80" w:line="300" w:lineRule="auto"/>
        <w:ind w:left="490" w:hanging="360"/>
      </w:pPr>
      <w:r>
        <w:rPr>
          <w:rFonts w:ascii="Calibri" w:hAnsi="Calibri"/>
          <w:color w:val="1F4D78"/>
        </w:rPr>
        <w:t xml:space="preserve">•  </w:t>
      </w:r>
      <w:r>
        <w:rPr>
          <w:rFonts w:ascii="Calibri" w:hAnsi="Calibri"/>
        </w:rPr>
        <w:t>exact plan, commands, tools, adapters, and model roles;</w:t>
      </w:r>
    </w:p>
    <w:p>
      <w:pPr>
        <w:spacing w:after="80" w:line="300" w:lineRule="auto"/>
        <w:ind w:left="490" w:hanging="360"/>
      </w:pPr>
      <w:r>
        <w:rPr>
          <w:rFonts w:ascii="Calibri" w:hAnsi="Calibri"/>
          <w:color w:val="1F4D78"/>
        </w:rPr>
        <w:t xml:space="preserve">•  </w:t>
      </w:r>
      <w:r>
        <w:rPr>
          <w:rFonts w:ascii="Calibri" w:hAnsi="Calibri"/>
        </w:rPr>
        <w:t>patches or artifact digests rather than uncontrolled private reasoning;</w:t>
      </w:r>
    </w:p>
    <w:p>
      <w:pPr>
        <w:spacing w:after="80" w:line="300" w:lineRule="auto"/>
        <w:ind w:left="490" w:hanging="360"/>
      </w:pPr>
      <w:r>
        <w:rPr>
          <w:rFonts w:ascii="Calibri" w:hAnsi="Calibri"/>
          <w:color w:val="1F4D78"/>
        </w:rPr>
        <w:t xml:space="preserve">•  </w:t>
      </w:r>
      <w:r>
        <w:rPr>
          <w:rFonts w:ascii="Calibri" w:hAnsi="Calibri"/>
        </w:rPr>
        <w:t>failures, root causes, repairs, and verification results;</w:t>
      </w:r>
    </w:p>
    <w:p>
      <w:pPr>
        <w:spacing w:after="80" w:line="300" w:lineRule="auto"/>
        <w:ind w:left="490" w:hanging="360"/>
      </w:pPr>
      <w:r>
        <w:rPr>
          <w:rFonts w:ascii="Calibri" w:hAnsi="Calibri"/>
          <w:color w:val="1F4D78"/>
        </w:rPr>
        <w:t xml:space="preserve">•  </w:t>
      </w:r>
      <w:r>
        <w:rPr>
          <w:rFonts w:ascii="Calibri" w:hAnsi="Calibri"/>
        </w:rPr>
        <w:t>review findings and how they were resolved;</w:t>
      </w:r>
    </w:p>
    <w:p>
      <w:pPr>
        <w:spacing w:after="80" w:line="300" w:lineRule="auto"/>
        <w:ind w:left="490" w:hanging="360"/>
      </w:pPr>
      <w:r>
        <w:rPr>
          <w:rFonts w:ascii="Calibri" w:hAnsi="Calibri"/>
          <w:color w:val="1F4D78"/>
        </w:rPr>
        <w:t xml:space="preserve">•  </w:t>
      </w:r>
      <w:r>
        <w:rPr>
          <w:rFonts w:ascii="Calibri" w:hAnsi="Calibri"/>
        </w:rPr>
        <w:t>rollback, cleanup, remote-equality, and resource-termination evidence; and</w:t>
      </w:r>
    </w:p>
    <w:p>
      <w:pPr>
        <w:spacing w:after="80" w:line="300" w:lineRule="auto"/>
        <w:ind w:left="490" w:hanging="360"/>
      </w:pPr>
      <w:r>
        <w:rPr>
          <w:rFonts w:ascii="Calibri" w:hAnsi="Calibri"/>
          <w:color w:val="1F4D78"/>
        </w:rPr>
        <w:t xml:space="preserve">•  </w:t>
      </w:r>
      <w:r>
        <w:rPr>
          <w:rFonts w:ascii="Calibri" w:hAnsi="Calibri"/>
        </w:rPr>
        <w:t>reusable lesson classification: skill, deterministic command, adapter requirement, policy clarification, evaluation case, or no durable learning.</w:t>
      </w:r>
    </w:p>
    <w:p>
      <w:pPr>
        <w:widowControl/>
      </w:pPr>
      <w:r>
        <w:rPr>
          <w:rFonts w:ascii="Calibri" w:hAnsi="Calibri"/>
        </w:rPr>
        <w:t>Raw credentials, hidden chain-of-thought, unrestricted desktop captures, private unrelated data, and unreviewed provider output are never training material.</w:t>
      </w:r>
    </w:p>
    <w:p>
      <w:pPr>
        <w:pStyle w:val="Heading2"/>
      </w:pPr>
      <w:r>
        <w:t>5.3 Capability preflight and honest gap reporting</w:t>
      </w:r>
    </w:p>
    <w:p>
      <w:pPr>
        <w:widowControl/>
      </w:pPr>
      <w:r>
        <w:rPr>
          <w:rFonts w:ascii="Calibri" w:hAnsi="Calibri"/>
        </w:rPr>
        <w:t>Before accepting a mission, IRIS verifies that the required model, context capacity, repository access, executable tools, adapters, dependencies, provider health, permissions, budgets, and verification environment are available.</w:t>
      </w:r>
    </w:p>
    <w:p>
      <w:pPr>
        <w:widowControl/>
      </w:pPr>
      <w:r>
        <w:rPr>
          <w:rFonts w:ascii="Calibri" w:hAnsi="Calibri"/>
        </w:rPr>
        <w:t>When a capability is absent, IRIS must not answer only that she cannot continue. She must report:</w:t>
      </w:r>
    </w:p>
    <w:p>
      <w:pPr>
        <w:spacing w:after="80" w:line="300" w:lineRule="auto"/>
        <w:ind w:left="490" w:hanging="360"/>
      </w:pPr>
      <w:r>
        <w:rPr>
          <w:rFonts w:ascii="Calibri" w:hAnsi="Calibri"/>
          <w:color w:val="1F4D78"/>
        </w:rPr>
        <w:t xml:space="preserve">1.  </w:t>
      </w:r>
      <w:r>
        <w:rPr>
          <w:rFonts w:ascii="Calibri" w:hAnsi="Calibri"/>
        </w:rPr>
        <w:t>the exact missing capability;</w:t>
      </w:r>
    </w:p>
    <w:p>
      <w:pPr>
        <w:spacing w:after="80" w:line="300" w:lineRule="auto"/>
        <w:ind w:left="490" w:hanging="360"/>
      </w:pPr>
      <w:r>
        <w:rPr>
          <w:rFonts w:ascii="Calibri" w:hAnsi="Calibri"/>
          <w:color w:val="1F4D78"/>
        </w:rPr>
        <w:t xml:space="preserve">2.  </w:t>
      </w:r>
      <w:r>
        <w:rPr>
          <w:rFonts w:ascii="Calibri" w:hAnsi="Calibri"/>
        </w:rPr>
        <w:t>the evidence proving it is missing;</w:t>
      </w:r>
    </w:p>
    <w:p>
      <w:pPr>
        <w:spacing w:after="80" w:line="300" w:lineRule="auto"/>
        <w:ind w:left="490" w:hanging="360"/>
      </w:pPr>
      <w:r>
        <w:rPr>
          <w:rFonts w:ascii="Calibri" w:hAnsi="Calibri"/>
          <w:color w:val="1F4D78"/>
        </w:rPr>
        <w:t xml:space="preserve">3.  </w:t>
      </w:r>
      <w:r>
        <w:rPr>
          <w:rFonts w:ascii="Calibri" w:hAnsi="Calibri"/>
        </w:rPr>
        <w:t>which objective step is blocked;</w:t>
      </w:r>
    </w:p>
    <w:p>
      <w:pPr>
        <w:spacing w:after="80" w:line="300" w:lineRule="auto"/>
        <w:ind w:left="490" w:hanging="360"/>
      </w:pPr>
      <w:r>
        <w:rPr>
          <w:rFonts w:ascii="Calibri" w:hAnsi="Calibri"/>
          <w:color w:val="1F4D78"/>
        </w:rPr>
        <w:t xml:space="preserve">4.  </w:t>
      </w:r>
      <w:r>
        <w:rPr>
          <w:rFonts w:ascii="Calibri" w:hAnsi="Calibri"/>
        </w:rPr>
        <w:t>whether an existing registered provider can satisfy it;</w:t>
      </w:r>
    </w:p>
    <w:p>
      <w:pPr>
        <w:spacing w:after="80" w:line="300" w:lineRule="auto"/>
        <w:ind w:left="490" w:hanging="360"/>
      </w:pPr>
      <w:r>
        <w:rPr>
          <w:rFonts w:ascii="Calibri" w:hAnsi="Calibri"/>
          <w:color w:val="1F4D78"/>
        </w:rPr>
        <w:t xml:space="preserve">5.  </w:t>
      </w:r>
      <w:r>
        <w:rPr>
          <w:rFonts w:ascii="Calibri" w:hAnsi="Calibri"/>
        </w:rPr>
        <w:t>whether research, repair, acquisition, or an adapter is required;</w:t>
      </w:r>
    </w:p>
    <w:p>
      <w:pPr>
        <w:spacing w:after="80" w:line="300" w:lineRule="auto"/>
        <w:ind w:left="490" w:hanging="360"/>
      </w:pPr>
      <w:r>
        <w:rPr>
          <w:rFonts w:ascii="Calibri" w:hAnsi="Calibri"/>
          <w:color w:val="1F4D78"/>
        </w:rPr>
        <w:t xml:space="preserve">6.  </w:t>
      </w:r>
      <w:r>
        <w:rPr>
          <w:rFonts w:ascii="Calibri" w:hAnsi="Calibri"/>
        </w:rPr>
        <w:t>the smallest bounded proposal to obtain it;</w:t>
      </w:r>
    </w:p>
    <w:p>
      <w:pPr>
        <w:spacing w:after="80" w:line="300" w:lineRule="auto"/>
        <w:ind w:left="490" w:hanging="360"/>
      </w:pPr>
      <w:r>
        <w:rPr>
          <w:rFonts w:ascii="Calibri" w:hAnsi="Calibri"/>
          <w:color w:val="1F4D78"/>
        </w:rPr>
        <w:t xml:space="preserve">7.  </w:t>
      </w:r>
      <w:r>
        <w:rPr>
          <w:rFonts w:ascii="Calibri" w:hAnsi="Calibri"/>
        </w:rPr>
        <w:t>security, license, privacy, cost, portability, rollback, and removal effects; and</w:t>
      </w:r>
    </w:p>
    <w:p>
      <w:pPr>
        <w:spacing w:after="80" w:line="300" w:lineRule="auto"/>
        <w:ind w:left="490" w:hanging="360"/>
      </w:pPr>
      <w:r>
        <w:rPr>
          <w:rFonts w:ascii="Calibri" w:hAnsi="Calibri"/>
          <w:color w:val="1F4D78"/>
        </w:rPr>
        <w:t xml:space="preserve">8.  </w:t>
      </w:r>
      <w:r>
        <w:rPr>
          <w:rFonts w:ascii="Calibri" w:hAnsi="Calibri"/>
        </w:rPr>
        <w:t>the exact Founder approval required before any protected effect.</w:t>
      </w:r>
    </w:p>
    <w:p>
      <w:pPr>
        <w:pStyle w:val="Heading2"/>
      </w:pPr>
      <w:r>
        <w:t>5.4 Adapter apprenticeship and Adapter Studio</w:t>
      </w:r>
    </w:p>
    <w:p>
      <w:pPr>
        <w:widowControl/>
      </w:pPr>
      <w:r>
        <w:rPr>
          <w:rFonts w:ascii="Calibri" w:hAnsi="Calibri"/>
        </w:rPr>
        <w:t>Adapters remain IRIS-owned contracts around replaceable providers. IRIS learns adapter development through the same observe, shadow, propose, execute, and certify ladder.</w:t>
      </w:r>
    </w:p>
    <w:p>
      <w:pPr>
        <w:widowControl/>
      </w:pPr>
      <w:r>
        <w:rPr>
          <w:rFonts w:ascii="Calibri" w:hAnsi="Calibri"/>
        </w:rPr>
        <w:t>The Adapter Studio lifecycle is:</w:t>
      </w:r>
    </w:p>
    <w:p>
      <w:pPr>
        <w:widowControl/>
        <w:spacing w:before="120" w:after="200"/>
        <w:jc w:val="center"/>
      </w:pPr>
      <w:r>
        <w:rPr>
          <w:rStyle w:val="IRISCode"/>
        </w:rPr>
        <w:t>detect gap -&gt; define provider-neutral contract -&gt; research official sources -&gt; compare candidates -&gt; select or build -&gt; scaffold adapter -&gt; validate schemas -&gt; enforce cancellation/timeouts -&gt; test failures -&gt; security/license/privacy/cost review -&gt; disposable proof -&gt; independent review -&gt; Founder approval -&gt; register -&gt; canary -&gt; monitor -&gt; rollback or promote</w:t>
      </w:r>
    </w:p>
    <w:p>
      <w:pPr>
        <w:widowControl/>
      </w:pPr>
      <w:r>
        <w:rPr>
          <w:rFonts w:ascii="Calibri" w:hAnsi="Calibri"/>
        </w:rPr>
        <w:t>IRIS performs the first implementation attempt after the contract and proposal are approved. Codex may demonstrate or repair the platform during early Phase 2, but each intervention must create a teaching record and regression test so the same class of failure can be handled by IRIS later.</w:t>
      </w:r>
    </w:p>
    <w:p>
      <w:pPr>
        <w:widowControl/>
      </w:pPr>
      <w:r>
        <w:rPr>
          <w:rFonts w:ascii="Calibri" w:hAnsi="Calibri"/>
        </w:rPr>
        <w:t>No adapter may become the owner of canonical memory, approvals, identity, policy, or worker state. Every adapter must be disableable, replaceable, exportable where applicable, and removable with verified zero residual resources.</w:t>
      </w:r>
    </w:p>
    <w:p>
      <w:pPr>
        <w:pStyle w:val="Heading2"/>
      </w:pPr>
      <w:r>
        <w:t>5.5 Codex-equivalent ordinary engineering surface</w:t>
      </w:r>
    </w:p>
    <w:p>
      <w:pPr>
        <w:widowControl/>
      </w:pPr>
      <w:r>
        <w:rPr>
          <w:rFonts w:ascii="Calibri" w:hAnsi="Calibri"/>
        </w:rPr>
        <w:t>Phase 2 must make the following ordinary workflow available through IRIS-owned contracts:</w:t>
      </w:r>
    </w:p>
    <w:p>
      <w:pPr>
        <w:spacing w:after="80" w:line="300" w:lineRule="auto"/>
        <w:ind w:left="490" w:hanging="360"/>
      </w:pPr>
      <w:r>
        <w:rPr>
          <w:rFonts w:ascii="Calibri" w:hAnsi="Calibri"/>
          <w:color w:val="1F4D78"/>
        </w:rPr>
        <w:t xml:space="preserve">•  </w:t>
      </w:r>
      <w:r>
        <w:rPr>
          <w:rFonts w:ascii="Calibri" w:hAnsi="Calibri"/>
        </w:rPr>
        <w:t>interpret an objective and retrieve governing context;</w:t>
      </w:r>
    </w:p>
    <w:p>
      <w:pPr>
        <w:spacing w:after="80" w:line="300" w:lineRule="auto"/>
        <w:ind w:left="490" w:hanging="360"/>
      </w:pPr>
      <w:r>
        <w:rPr>
          <w:rFonts w:ascii="Calibri" w:hAnsi="Calibri"/>
          <w:color w:val="1F4D78"/>
        </w:rPr>
        <w:t xml:space="preserve">•  </w:t>
      </w:r>
      <w:r>
        <w:rPr>
          <w:rFonts w:ascii="Calibri" w:hAnsi="Calibri"/>
        </w:rPr>
        <w:t>inspect repositories and exact revisions;</w:t>
      </w:r>
    </w:p>
    <w:p>
      <w:pPr>
        <w:spacing w:after="80" w:line="300" w:lineRule="auto"/>
        <w:ind w:left="490" w:hanging="360"/>
      </w:pPr>
      <w:r>
        <w:rPr>
          <w:rFonts w:ascii="Calibri" w:hAnsi="Calibri"/>
          <w:color w:val="1F4D78"/>
        </w:rPr>
        <w:t xml:space="preserve">•  </w:t>
      </w:r>
      <w:r>
        <w:rPr>
          <w:rFonts w:ascii="Calibri" w:hAnsi="Calibri"/>
        </w:rPr>
        <w:t>create bounded plans and dependency graphs;</w:t>
      </w:r>
    </w:p>
    <w:p>
      <w:pPr>
        <w:spacing w:after="80" w:line="300" w:lineRule="auto"/>
        <w:ind w:left="490" w:hanging="360"/>
      </w:pPr>
      <w:r>
        <w:rPr>
          <w:rFonts w:ascii="Calibri" w:hAnsi="Calibri"/>
          <w:color w:val="1F4D78"/>
        </w:rPr>
        <w:t xml:space="preserve">•  </w:t>
      </w:r>
      <w:r>
        <w:rPr>
          <w:rFonts w:ascii="Calibri" w:hAnsi="Calibri"/>
        </w:rPr>
        <w:t>prepare disposable Git workspaces;</w:t>
      </w:r>
    </w:p>
    <w:p>
      <w:pPr>
        <w:spacing w:after="80" w:line="300" w:lineRule="auto"/>
        <w:ind w:left="490" w:hanging="360"/>
      </w:pPr>
      <w:r>
        <w:rPr>
          <w:rFonts w:ascii="Calibri" w:hAnsi="Calibri"/>
          <w:color w:val="1F4D78"/>
        </w:rPr>
        <w:t xml:space="preserve">•  </w:t>
      </w:r>
      <w:r>
        <w:rPr>
          <w:rFonts w:ascii="Calibri" w:hAnsi="Calibri"/>
        </w:rPr>
        <w:t>read and edit exact allowed paths;</w:t>
      </w:r>
    </w:p>
    <w:p>
      <w:pPr>
        <w:spacing w:after="80" w:line="300" w:lineRule="auto"/>
        <w:ind w:left="490" w:hanging="360"/>
      </w:pPr>
      <w:r>
        <w:rPr>
          <w:rFonts w:ascii="Calibri" w:hAnsi="Calibri"/>
          <w:color w:val="1F4D78"/>
        </w:rPr>
        <w:t xml:space="preserve">•  </w:t>
      </w:r>
      <w:r>
        <w:rPr>
          <w:rFonts w:ascii="Calibri" w:hAnsi="Calibri"/>
        </w:rPr>
        <w:t>run exact terminal commands;</w:t>
      </w:r>
    </w:p>
    <w:p>
      <w:pPr>
        <w:spacing w:after="80" w:line="300" w:lineRule="auto"/>
        <w:ind w:left="490" w:hanging="360"/>
      </w:pPr>
      <w:r>
        <w:rPr>
          <w:rFonts w:ascii="Calibri" w:hAnsi="Calibri"/>
          <w:color w:val="1F4D78"/>
        </w:rPr>
        <w:t xml:space="preserve">•  </w:t>
      </w:r>
      <w:r>
        <w:rPr>
          <w:rFonts w:ascii="Calibri" w:hAnsi="Calibri"/>
        </w:rPr>
        <w:t>materialize already approved dependencies;</w:t>
      </w:r>
    </w:p>
    <w:p>
      <w:pPr>
        <w:spacing w:after="80" w:line="300" w:lineRule="auto"/>
        <w:ind w:left="490" w:hanging="360"/>
      </w:pPr>
      <w:r>
        <w:rPr>
          <w:rFonts w:ascii="Calibri" w:hAnsi="Calibri"/>
          <w:color w:val="1F4D78"/>
        </w:rPr>
        <w:t xml:space="preserve">•  </w:t>
      </w:r>
      <w:r>
        <w:rPr>
          <w:rFonts w:ascii="Calibri" w:hAnsi="Calibri"/>
        </w:rPr>
        <w:t>run formatting, lint, type checking, tests, builds, diagnostics, and browser checks;</w:t>
      </w:r>
    </w:p>
    <w:p>
      <w:pPr>
        <w:spacing w:after="80" w:line="300" w:lineRule="auto"/>
        <w:ind w:left="490" w:hanging="360"/>
      </w:pPr>
      <w:r>
        <w:rPr>
          <w:rFonts w:ascii="Calibri" w:hAnsi="Calibri"/>
          <w:color w:val="1F4D78"/>
        </w:rPr>
        <w:t xml:space="preserve">•  </w:t>
      </w:r>
      <w:r>
        <w:rPr>
          <w:rFonts w:ascii="Calibri" w:hAnsi="Calibri"/>
        </w:rPr>
        <w:t>diagnose failures and perform bounded repair;</w:t>
      </w:r>
    </w:p>
    <w:p>
      <w:pPr>
        <w:spacing w:after="80" w:line="300" w:lineRule="auto"/>
        <w:ind w:left="490" w:hanging="360"/>
      </w:pPr>
      <w:r>
        <w:rPr>
          <w:rFonts w:ascii="Calibri" w:hAnsi="Calibri"/>
          <w:color w:val="1F4D78"/>
        </w:rPr>
        <w:t xml:space="preserve">•  </w:t>
      </w:r>
      <w:r>
        <w:rPr>
          <w:rFonts w:ascii="Calibri" w:hAnsi="Calibri"/>
        </w:rPr>
        <w:t>request independent review and address objective-bound findings;</w:t>
      </w:r>
    </w:p>
    <w:p>
      <w:pPr>
        <w:spacing w:after="80" w:line="300" w:lineRule="auto"/>
        <w:ind w:left="490" w:hanging="360"/>
      </w:pPr>
      <w:r>
        <w:rPr>
          <w:rFonts w:ascii="Calibri" w:hAnsi="Calibri"/>
          <w:color w:val="1F4D78"/>
        </w:rPr>
        <w:t xml:space="preserve">•  </w:t>
      </w:r>
      <w:r>
        <w:rPr>
          <w:rFonts w:ascii="Calibri" w:hAnsi="Calibri"/>
        </w:rPr>
        <w:t>create history-preserving commits;</w:t>
      </w:r>
    </w:p>
    <w:p>
      <w:pPr>
        <w:spacing w:after="80" w:line="300" w:lineRule="auto"/>
        <w:ind w:left="490" w:hanging="360"/>
      </w:pPr>
      <w:r>
        <w:rPr>
          <w:rFonts w:ascii="Calibri" w:hAnsi="Calibri"/>
          <w:color w:val="1F4D78"/>
        </w:rPr>
        <w:t xml:space="preserve">•  </w:t>
      </w:r>
      <w:r>
        <w:rPr>
          <w:rFonts w:ascii="Calibri" w:hAnsi="Calibri"/>
        </w:rPr>
        <w:t>push non-force branches and create pull requests when authorized;</w:t>
      </w:r>
    </w:p>
    <w:p>
      <w:pPr>
        <w:spacing w:after="80" w:line="300" w:lineRule="auto"/>
        <w:ind w:left="490" w:hanging="360"/>
      </w:pPr>
      <w:r>
        <w:rPr>
          <w:rFonts w:ascii="Calibri" w:hAnsi="Calibri"/>
          <w:color w:val="1F4D78"/>
        </w:rPr>
        <w:t xml:space="preserve">•  </w:t>
      </w:r>
      <w:r>
        <w:rPr>
          <w:rFonts w:ascii="Calibri" w:hAnsi="Calibri"/>
        </w:rPr>
        <w:t>monitor CI and review state;</w:t>
      </w:r>
    </w:p>
    <w:p>
      <w:pPr>
        <w:spacing w:after="80" w:line="300" w:lineRule="auto"/>
        <w:ind w:left="490" w:hanging="360"/>
      </w:pPr>
      <w:r>
        <w:rPr>
          <w:rFonts w:ascii="Calibri" w:hAnsi="Calibri"/>
          <w:color w:val="1F4D78"/>
        </w:rPr>
        <w:t xml:space="preserve">•  </w:t>
      </w:r>
      <w:r>
        <w:rPr>
          <w:rFonts w:ascii="Calibri" w:hAnsi="Calibri"/>
        </w:rPr>
        <w:t>prepare, but not silently grant, merge or protected approval;</w:t>
      </w:r>
    </w:p>
    <w:p>
      <w:pPr>
        <w:spacing w:after="80" w:line="300" w:lineRule="auto"/>
        <w:ind w:left="490" w:hanging="360"/>
      </w:pPr>
      <w:r>
        <w:rPr>
          <w:rFonts w:ascii="Calibri" w:hAnsi="Calibri"/>
          <w:color w:val="1F4D78"/>
        </w:rPr>
        <w:t xml:space="preserve">•  </w:t>
      </w:r>
      <w:r>
        <w:rPr>
          <w:rFonts w:ascii="Calibri" w:hAnsi="Calibri"/>
        </w:rPr>
        <w:t>prove rollback, cleanup, provider state, and remote equality; and</w:t>
      </w:r>
    </w:p>
    <w:p>
      <w:pPr>
        <w:spacing w:after="80" w:line="300" w:lineRule="auto"/>
        <w:ind w:left="490" w:hanging="360"/>
      </w:pPr>
      <w:r>
        <w:rPr>
          <w:rFonts w:ascii="Calibri" w:hAnsi="Calibri"/>
          <w:color w:val="1F4D78"/>
        </w:rPr>
        <w:t xml:space="preserve">•  </w:t>
      </w:r>
      <w:r>
        <w:rPr>
          <w:rFonts w:ascii="Calibri" w:hAnsi="Calibri"/>
        </w:rPr>
        <w:t>pause, resume, cancel, steer, and recover long-running objectives.</w:t>
      </w:r>
    </w:p>
    <w:p>
      <w:pPr>
        <w:pStyle w:val="Heading2"/>
      </w:pPr>
      <w:r>
        <w:t>5.6 Research parity</w:t>
      </w:r>
    </w:p>
    <w:p>
      <w:pPr>
        <w:widowControl/>
      </w:pPr>
      <w:r>
        <w:rPr>
          <w:rFonts w:ascii="Calibri" w:hAnsi="Calibri"/>
        </w:rPr>
        <w:t>IRIS must provide a Perplexity-class research experience without making any research provider authoritative. The research system must:</w:t>
      </w:r>
    </w:p>
    <w:p>
      <w:pPr>
        <w:spacing w:after="80" w:line="300" w:lineRule="auto"/>
        <w:ind w:left="490" w:hanging="360"/>
      </w:pPr>
      <w:r>
        <w:rPr>
          <w:rFonts w:ascii="Calibri" w:hAnsi="Calibri"/>
          <w:color w:val="1F4D78"/>
        </w:rPr>
        <w:t xml:space="preserve">•  </w:t>
      </w:r>
      <w:r>
        <w:rPr>
          <w:rFonts w:ascii="Calibri" w:hAnsi="Calibri"/>
        </w:rPr>
        <w:t>plan source-efficient queries;</w:t>
      </w:r>
    </w:p>
    <w:p>
      <w:pPr>
        <w:spacing w:after="80" w:line="300" w:lineRule="auto"/>
        <w:ind w:left="490" w:hanging="360"/>
      </w:pPr>
      <w:r>
        <w:rPr>
          <w:rFonts w:ascii="Calibri" w:hAnsi="Calibri"/>
          <w:color w:val="1F4D78"/>
        </w:rPr>
        <w:t xml:space="preserve">•  </w:t>
      </w:r>
      <w:r>
        <w:rPr>
          <w:rFonts w:ascii="Calibri" w:hAnsi="Calibri"/>
        </w:rPr>
        <w:t>prefer current primary and official sources;</w:t>
      </w:r>
    </w:p>
    <w:p>
      <w:pPr>
        <w:spacing w:after="80" w:line="300" w:lineRule="auto"/>
        <w:ind w:left="490" w:hanging="360"/>
      </w:pPr>
      <w:r>
        <w:rPr>
          <w:rFonts w:ascii="Calibri" w:hAnsi="Calibri"/>
          <w:color w:val="1F4D78"/>
        </w:rPr>
        <w:t xml:space="preserve">•  </w:t>
      </w:r>
      <w:r>
        <w:rPr>
          <w:rFonts w:ascii="Calibri" w:hAnsi="Calibri"/>
        </w:rPr>
        <w:t>capture publication and event dates separately;</w:t>
      </w:r>
    </w:p>
    <w:p>
      <w:pPr>
        <w:spacing w:after="80" w:line="300" w:lineRule="auto"/>
        <w:ind w:left="490" w:hanging="360"/>
      </w:pPr>
      <w:r>
        <w:rPr>
          <w:rFonts w:ascii="Calibri" w:hAnsi="Calibri"/>
          <w:color w:val="1F4D78"/>
        </w:rPr>
        <w:t xml:space="preserve">•  </w:t>
      </w:r>
      <w:r>
        <w:rPr>
          <w:rFonts w:ascii="Calibri" w:hAnsi="Calibri"/>
        </w:rPr>
        <w:t>score authority, freshness, relevance, independence, and contradiction risk;</w:t>
      </w:r>
    </w:p>
    <w:p>
      <w:pPr>
        <w:spacing w:after="80" w:line="300" w:lineRule="auto"/>
        <w:ind w:left="490" w:hanging="360"/>
      </w:pPr>
      <w:r>
        <w:rPr>
          <w:rFonts w:ascii="Calibri" w:hAnsi="Calibri"/>
          <w:color w:val="1F4D78"/>
        </w:rPr>
        <w:t xml:space="preserve">•  </w:t>
      </w:r>
      <w:r>
        <w:rPr>
          <w:rFonts w:ascii="Calibri" w:hAnsi="Calibri"/>
        </w:rPr>
        <w:t>isolate retrieved instructions and prompt injection;</w:t>
      </w:r>
    </w:p>
    <w:p>
      <w:pPr>
        <w:spacing w:after="80" w:line="300" w:lineRule="auto"/>
        <w:ind w:left="490" w:hanging="360"/>
      </w:pPr>
      <w:r>
        <w:rPr>
          <w:rFonts w:ascii="Calibri" w:hAnsi="Calibri"/>
          <w:color w:val="1F4D78"/>
        </w:rPr>
        <w:t xml:space="preserve">•  </w:t>
      </w:r>
      <w:r>
        <w:rPr>
          <w:rFonts w:ascii="Calibri" w:hAnsi="Calibri"/>
        </w:rPr>
        <w:t>reject unsafe schemes and uncontrolled downloads;</w:t>
      </w:r>
    </w:p>
    <w:p>
      <w:pPr>
        <w:spacing w:after="80" w:line="300" w:lineRule="auto"/>
        <w:ind w:left="490" w:hanging="360"/>
      </w:pPr>
      <w:r>
        <w:rPr>
          <w:rFonts w:ascii="Calibri" w:hAnsi="Calibri"/>
          <w:color w:val="1F4D78"/>
        </w:rPr>
        <w:t xml:space="preserve">•  </w:t>
      </w:r>
      <w:r>
        <w:rPr>
          <w:rFonts w:ascii="Calibri" w:hAnsi="Calibri"/>
        </w:rPr>
        <w:t>bind every material claim to direct source evidence;</w:t>
      </w:r>
    </w:p>
    <w:p>
      <w:pPr>
        <w:spacing w:after="80" w:line="300" w:lineRule="auto"/>
        <w:ind w:left="490" w:hanging="360"/>
      </w:pPr>
      <w:r>
        <w:rPr>
          <w:rFonts w:ascii="Calibri" w:hAnsi="Calibri"/>
          <w:color w:val="1F4D78"/>
        </w:rPr>
        <w:t xml:space="preserve">•  </w:t>
      </w:r>
      <w:r>
        <w:rPr>
          <w:rFonts w:ascii="Calibri" w:hAnsi="Calibri"/>
        </w:rPr>
        <w:t>verify citations resolve to the supporting page;</w:t>
      </w:r>
    </w:p>
    <w:p>
      <w:pPr>
        <w:spacing w:after="80" w:line="300" w:lineRule="auto"/>
        <w:ind w:left="490" w:hanging="360"/>
      </w:pPr>
      <w:r>
        <w:rPr>
          <w:rFonts w:ascii="Calibri" w:hAnsi="Calibri"/>
          <w:color w:val="1F4D78"/>
        </w:rPr>
        <w:t xml:space="preserve">•  </w:t>
      </w:r>
      <w:r>
        <w:rPr>
          <w:rFonts w:ascii="Calibri" w:hAnsi="Calibri"/>
        </w:rPr>
        <w:t>distinguish observed facts, source claims, calculations, and IRIS inferences;</w:t>
      </w:r>
    </w:p>
    <w:p>
      <w:pPr>
        <w:spacing w:after="80" w:line="300" w:lineRule="auto"/>
        <w:ind w:left="490" w:hanging="360"/>
      </w:pPr>
      <w:r>
        <w:rPr>
          <w:rFonts w:ascii="Calibri" w:hAnsi="Calibri"/>
          <w:color w:val="1F4D78"/>
        </w:rPr>
        <w:t xml:space="preserve">•  </w:t>
      </w:r>
      <w:r>
        <w:rPr>
          <w:rFonts w:ascii="Calibri" w:hAnsi="Calibri"/>
        </w:rPr>
        <w:t>reconcile contradictory sources rather than hiding them;</w:t>
      </w:r>
    </w:p>
    <w:p>
      <w:pPr>
        <w:spacing w:after="80" w:line="300" w:lineRule="auto"/>
        <w:ind w:left="490" w:hanging="360"/>
      </w:pPr>
      <w:r>
        <w:rPr>
          <w:rFonts w:ascii="Calibri" w:hAnsi="Calibri"/>
          <w:color w:val="1F4D78"/>
        </w:rPr>
        <w:t xml:space="preserve">•  </w:t>
      </w:r>
      <w:r>
        <w:rPr>
          <w:rFonts w:ascii="Calibri" w:hAnsi="Calibri"/>
        </w:rPr>
        <w:t>cache only policy-compliant evidence with provenance and expiry; and</w:t>
      </w:r>
    </w:p>
    <w:p>
      <w:pPr>
        <w:spacing w:after="80" w:line="300" w:lineRule="auto"/>
        <w:ind w:left="490" w:hanging="360"/>
      </w:pPr>
      <w:r>
        <w:rPr>
          <w:rFonts w:ascii="Calibri" w:hAnsi="Calibri"/>
          <w:color w:val="1F4D78"/>
        </w:rPr>
        <w:t xml:space="preserve">•  </w:t>
      </w:r>
      <w:r>
        <w:rPr>
          <w:rFonts w:ascii="Calibri" w:hAnsi="Calibri"/>
        </w:rPr>
        <w:t>disclose unavailable sources, uncertainty, and budget limits.</w:t>
      </w:r>
    </w:p>
    <w:p>
      <w:pPr>
        <w:pStyle w:val="Heading2"/>
      </w:pPr>
      <w:r>
        <w:t>5.7 Permitted website reproduction</w:t>
      </w:r>
    </w:p>
    <w:p>
      <w:pPr>
        <w:widowControl/>
      </w:pPr>
      <w:r>
        <w:rPr>
          <w:rFonts w:ascii="Calibri" w:hAnsi="Calibri"/>
        </w:rPr>
        <w:t>IRIS may reproduce a website only from a Founder-approved public or supplied reference and under an explicit scope. The goal is an original implementation of permitted structure, layout, interaction patterns, responsive behavior, and visual system—not theft of proprietary code, credentials, private content, branding, or restricted assets.</w:t>
      </w:r>
    </w:p>
    <w:p>
      <w:pPr>
        <w:widowControl/>
      </w:pPr>
      <w:r>
        <w:rPr>
          <w:rFonts w:ascii="Calibri" w:hAnsi="Calibri"/>
        </w:rPr>
        <w:t>The workflow is:</w:t>
      </w:r>
    </w:p>
    <w:p>
      <w:pPr>
        <w:widowControl/>
        <w:spacing w:before="120" w:after="200"/>
        <w:jc w:val="center"/>
      </w:pPr>
      <w:r>
        <w:rPr>
          <w:rStyle w:val="IRISCode"/>
        </w:rPr>
        <w:t>authorize reference -&gt; record provenance and license -&gt; inspect DOM/accessibility/layout -&gt; capture bounded visual evidence -&gt; extract design tokens and component patterns -&gt; map behavior -&gt; create original code -&gt; use supplied or newly created assets -&gt; test responsive and accessible behavior -&gt; visual diff -&gt; repair -&gt; record traceability -&gt; deliver and clean</w:t>
      </w:r>
    </w:p>
    <w:p>
      <w:pPr>
        <w:widowControl/>
      </w:pPr>
      <w:r>
        <w:rPr>
          <w:rFonts w:ascii="Calibri" w:hAnsi="Calibri"/>
        </w:rPr>
        <w:t>IRIS may save approved reusable design principles, component specifications, and original assets to her skill and blueprint registries. She may not save third-party source code or copyrighted assets merely because a browser can access them.</w:t>
      </w:r>
    </w:p>
    <w:p>
      <w:pPr>
        <w:pStyle w:val="Heading1"/>
      </w:pPr>
      <w:r>
        <w:t>6. Phase 2 capability tranches and exit gates</w:t>
      </w:r>
    </w:p>
    <w:p>
      <w:pPr>
        <w:pStyle w:val="Heading2"/>
      </w:pPr>
      <w:r>
        <w:t>Tranche 2.1 - Shared operational truth</w:t>
      </w:r>
    </w:p>
    <w:p>
      <w:pPr>
        <w:widowControl/>
      </w:pPr>
      <w:r>
        <w:rPr>
          <w:rFonts w:ascii="Calibri" w:hAnsi="Calibri"/>
        </w:rPr>
        <w:t>IRIS and the Founder receive one durable mission timeline containing plans, approvals, model routing, worker/tool activity, terminal results, patches, tests, reviews, recovery state, and final evidence.</w:t>
      </w:r>
    </w:p>
    <w:p>
      <w:pPr>
        <w:widowControl/>
      </w:pPr>
      <w:r>
        <w:rPr>
          <w:rFonts w:ascii="Calibri" w:hAnsi="Calibri"/>
          <w:b/>
        </w:rPr>
        <w:t>Exit gate:</w:t>
      </w:r>
      <w:r>
        <w:rPr>
          <w:rFonts w:ascii="Calibri" w:hAnsi="Calibri"/>
        </w:rPr>
        <w:t xml:space="preserve"> navigation or restart cannot erase the active mission record; observed execution matches durable evidence.</w:t>
      </w:r>
    </w:p>
    <w:p>
      <w:pPr>
        <w:pStyle w:val="Heading2"/>
      </w:pPr>
      <w:r>
        <w:t>Tranche 2.2 - Supervised engineering apprenticeship</w:t>
      </w:r>
    </w:p>
    <w:p>
      <w:pPr>
        <w:widowControl/>
      </w:pPr>
      <w:r>
        <w:rPr>
          <w:rFonts w:ascii="Calibri" w:hAnsi="Calibri"/>
        </w:rPr>
        <w:t>IRIS shadows real work, prepares comparable plans, and completes bounded disposable changes with Codex reviewing rather than silently repairing.</w:t>
      </w:r>
    </w:p>
    <w:p>
      <w:pPr>
        <w:widowControl/>
      </w:pPr>
      <w:r>
        <w:rPr>
          <w:rFonts w:ascii="Calibri" w:hAnsi="Calibri"/>
          <w:b/>
        </w:rPr>
        <w:t>Exit gate:</w:t>
      </w:r>
      <w:r>
        <w:rPr>
          <w:rFonts w:ascii="Calibri" w:hAnsi="Calibri"/>
        </w:rPr>
        <w:t xml:space="preserve"> consecutive held-out tasks satisfy objective, scope, verification, rollback, cleanup, and review criteria.</w:t>
      </w:r>
    </w:p>
    <w:p>
      <w:pPr>
        <w:pStyle w:val="Heading2"/>
      </w:pPr>
      <w:r>
        <w:t>Tranche 2.3 - Self-repair and capability acquisition</w:t>
      </w:r>
    </w:p>
    <w:p>
      <w:pPr>
        <w:widowControl/>
      </w:pPr>
      <w:r>
        <w:rPr>
          <w:rFonts w:ascii="Calibri" w:hAnsi="Calibri"/>
        </w:rPr>
        <w:t>IRIS reproduces errors, diagnoses root causes, proposes the smallest repair or acquisition, implements approved changes, verifies them, and resumes the original objective.</w:t>
      </w:r>
    </w:p>
    <w:p>
      <w:pPr>
        <w:widowControl/>
      </w:pPr>
      <w:r>
        <w:rPr>
          <w:rFonts w:ascii="Calibri" w:hAnsi="Calibri"/>
          <w:b/>
        </w:rPr>
        <w:t>Exit gate:</w:t>
      </w:r>
      <w:r>
        <w:rPr>
          <w:rFonts w:ascii="Calibri" w:hAnsi="Calibri"/>
        </w:rPr>
        <w:t xml:space="preserve"> one interrupted objective and one missing-capability objective are completed without scope loss, duplicate effects, hidden failure, or Codex implementation.</w:t>
      </w:r>
    </w:p>
    <w:p>
      <w:pPr>
        <w:pStyle w:val="Heading2"/>
      </w:pPr>
      <w:r>
        <w:t>Tranche 2.4 - Adapter apprenticeship</w:t>
      </w:r>
    </w:p>
    <w:p>
      <w:pPr>
        <w:widowControl/>
      </w:pPr>
      <w:r>
        <w:rPr>
          <w:rFonts w:ascii="Calibri" w:hAnsi="Calibri"/>
        </w:rPr>
        <w:t>IRIS creates or upgrades one provider adapter through the complete Adapter Studio lifecycle.</w:t>
      </w:r>
    </w:p>
    <w:p>
      <w:pPr>
        <w:widowControl/>
      </w:pPr>
      <w:r>
        <w:rPr>
          <w:rFonts w:ascii="Calibri" w:hAnsi="Calibri"/>
          <w:b/>
        </w:rPr>
        <w:t>Exit gate:</w:t>
      </w:r>
      <w:r>
        <w:rPr>
          <w:rFonts w:ascii="Calibri" w:hAnsi="Calibri"/>
        </w:rPr>
        <w:t xml:space="preserve"> contract, implementation, failure tests, registry, canary, rollback, and removal evidence pass while the provider remains replaceable.</w:t>
      </w:r>
    </w:p>
    <w:p>
      <w:pPr>
        <w:pStyle w:val="Heading2"/>
      </w:pPr>
      <w:r>
        <w:t>Tranche 2.5 - Research and web-production parity</w:t>
      </w:r>
    </w:p>
    <w:p>
      <w:pPr>
        <w:widowControl/>
      </w:pPr>
      <w:r>
        <w:rPr>
          <w:rFonts w:ascii="Calibri" w:hAnsi="Calibri"/>
        </w:rPr>
        <w:t>IRIS completes authoritative research and a permitted website-reproduction task with source and visual evidence.</w:t>
      </w:r>
    </w:p>
    <w:p>
      <w:pPr>
        <w:widowControl/>
      </w:pPr>
      <w:r>
        <w:rPr>
          <w:rFonts w:ascii="Calibri" w:hAnsi="Calibri"/>
          <w:b/>
        </w:rPr>
        <w:t>Exit gate:</w:t>
      </w:r>
      <w:r>
        <w:rPr>
          <w:rFonts w:ascii="Calibri" w:hAnsi="Calibri"/>
        </w:rPr>
        <w:t xml:space="preserve"> citation accuracy, injection resistance, responsive behavior, accessibility, visual review, provenance, and cleanup pass.</w:t>
      </w:r>
    </w:p>
    <w:p>
      <w:pPr>
        <w:pStyle w:val="Heading2"/>
      </w:pPr>
      <w:r>
        <w:t>Tranche 2.6 - Phase 2 certification</w:t>
      </w:r>
    </w:p>
    <w:p>
      <w:pPr>
        <w:widowControl/>
      </w:pPr>
      <w:r>
        <w:rPr>
          <w:rFonts w:ascii="Calibri" w:hAnsi="Calibri"/>
        </w:rPr>
        <w:t>IRIS completes the existing seven-test Founder certification ladder plus the adapter exercise above. Platform repairs between attempts do not convert a failed attempt into a pass.</w:t>
      </w:r>
    </w:p>
    <w:p>
      <w:pPr>
        <w:widowControl/>
      </w:pPr>
      <w:r>
        <w:rPr>
          <w:rFonts w:ascii="Calibri" w:hAnsi="Calibri"/>
          <w:b/>
        </w:rPr>
        <w:t>Exit gate:</w:t>
      </w:r>
      <w:r>
        <w:rPr>
          <w:rFonts w:ascii="Calibri" w:hAnsi="Calibri"/>
        </w:rPr>
        <w:t xml:space="preserve"> the required consecutive genuine increments pass with Codex audit-only, no unauthorized mutation, recoverable failures, passing verification and CI, history-preserving delivery, cleanup, and quality inside the Founder-approved margin of the Codex baseline.</w:t>
      </w:r>
    </w:p>
    <w:p>
      <w:pPr>
        <w:pStyle w:val="Heading1"/>
      </w:pPr>
      <w:r>
        <w:t>7. Phase 3 worker architecture</w:t>
      </w:r>
    </w:p>
    <w:p>
      <w:pPr>
        <w:pStyle w:val="Heading2"/>
      </w:pPr>
      <w:r>
        <w:t>7.1 Worker ownership</w:t>
      </w:r>
    </w:p>
    <w:p>
      <w:pPr>
        <w:widowControl/>
      </w:pPr>
      <w:r>
        <w:rPr>
          <w:rFonts w:ascii="Calibri" w:hAnsi="Calibri"/>
        </w:rPr>
        <w:t>Workers are specialized, replaceable execution units. IRIS owns their specifications, identities, permissions, tool contracts, context assembly, evaluation history, lifecycle, and registry state. Workers do not independently own canonical long-term memory or Founder authority.</w:t>
      </w:r>
    </w:p>
    <w:p>
      <w:pPr>
        <w:widowControl/>
      </w:pPr>
      <w:r>
        <w:rPr>
          <w:rFonts w:ascii="Calibri" w:hAnsi="Calibri"/>
        </w:rPr>
        <w:t>Every worker package must define:</w:t>
      </w:r>
    </w:p>
    <w:p>
      <w:pPr>
        <w:spacing w:after="80" w:line="300" w:lineRule="auto"/>
        <w:ind w:left="490" w:hanging="360"/>
      </w:pPr>
      <w:r>
        <w:rPr>
          <w:rFonts w:ascii="Calibri" w:hAnsi="Calibri"/>
          <w:color w:val="1F4D78"/>
        </w:rPr>
        <w:t xml:space="preserve">•  </w:t>
      </w:r>
      <w:r>
        <w:rPr>
          <w:rFonts w:ascii="Calibri" w:hAnsi="Calibri"/>
        </w:rPr>
        <w:t>purpose and measurable completion criteria;</w:t>
      </w:r>
    </w:p>
    <w:p>
      <w:pPr>
        <w:spacing w:after="80" w:line="300" w:lineRule="auto"/>
        <w:ind w:left="490" w:hanging="360"/>
      </w:pPr>
      <w:r>
        <w:rPr>
          <w:rFonts w:ascii="Calibri" w:hAnsi="Calibri"/>
          <w:color w:val="1F4D78"/>
        </w:rPr>
        <w:t xml:space="preserve">•  </w:t>
      </w:r>
      <w:r>
        <w:rPr>
          <w:rFonts w:ascii="Calibri" w:hAnsi="Calibri"/>
        </w:rPr>
        <w:t>model role and fallback policy;</w:t>
      </w:r>
    </w:p>
    <w:p>
      <w:pPr>
        <w:spacing w:after="80" w:line="300" w:lineRule="auto"/>
        <w:ind w:left="490" w:hanging="360"/>
      </w:pPr>
      <w:r>
        <w:rPr>
          <w:rFonts w:ascii="Calibri" w:hAnsi="Calibri"/>
          <w:color w:val="1F4D78"/>
        </w:rPr>
        <w:t xml:space="preserve">•  </w:t>
      </w:r>
      <w:r>
        <w:rPr>
          <w:rFonts w:ascii="Calibri" w:hAnsi="Calibri"/>
        </w:rPr>
        <w:t>task-scoped context and memory inputs;</w:t>
      </w:r>
    </w:p>
    <w:p>
      <w:pPr>
        <w:spacing w:after="80" w:line="300" w:lineRule="auto"/>
        <w:ind w:left="490" w:hanging="360"/>
      </w:pPr>
      <w:r>
        <w:rPr>
          <w:rFonts w:ascii="Calibri" w:hAnsi="Calibri"/>
          <w:color w:val="1F4D78"/>
        </w:rPr>
        <w:t xml:space="preserve">•  </w:t>
      </w:r>
      <w:r>
        <w:rPr>
          <w:rFonts w:ascii="Calibri" w:hAnsi="Calibri"/>
        </w:rPr>
        <w:t>allowed tools, paths, data, network targets, and budgets;</w:t>
      </w:r>
    </w:p>
    <w:p>
      <w:pPr>
        <w:spacing w:after="80" w:line="300" w:lineRule="auto"/>
        <w:ind w:left="490" w:hanging="360"/>
      </w:pPr>
      <w:r>
        <w:rPr>
          <w:rFonts w:ascii="Calibri" w:hAnsi="Calibri"/>
          <w:color w:val="1F4D78"/>
        </w:rPr>
        <w:t xml:space="preserve">•  </w:t>
      </w:r>
      <w:r>
        <w:rPr>
          <w:rFonts w:ascii="Calibri" w:hAnsi="Calibri"/>
        </w:rPr>
        <w:t>prohibited and protected effects;</w:t>
      </w:r>
    </w:p>
    <w:p>
      <w:pPr>
        <w:spacing w:after="80" w:line="300" w:lineRule="auto"/>
        <w:ind w:left="490" w:hanging="360"/>
      </w:pPr>
      <w:r>
        <w:rPr>
          <w:rFonts w:ascii="Calibri" w:hAnsi="Calibri"/>
          <w:color w:val="1F4D78"/>
        </w:rPr>
        <w:t xml:space="preserve">•  </w:t>
      </w:r>
      <w:r>
        <w:rPr>
          <w:rFonts w:ascii="Calibri" w:hAnsi="Calibri"/>
        </w:rPr>
        <w:t>output schema and evidence contract;</w:t>
      </w:r>
    </w:p>
    <w:p>
      <w:pPr>
        <w:spacing w:after="80" w:line="300" w:lineRule="auto"/>
        <w:ind w:left="490" w:hanging="360"/>
      </w:pPr>
      <w:r>
        <w:rPr>
          <w:rFonts w:ascii="Calibri" w:hAnsi="Calibri"/>
          <w:color w:val="1F4D78"/>
        </w:rPr>
        <w:t xml:space="preserve">•  </w:t>
      </w:r>
      <w:r>
        <w:rPr>
          <w:rFonts w:ascii="Calibri" w:hAnsi="Calibri"/>
        </w:rPr>
        <w:t>verification and independent-review rubric;</w:t>
      </w:r>
    </w:p>
    <w:p>
      <w:pPr>
        <w:spacing w:after="80" w:line="300" w:lineRule="auto"/>
        <w:ind w:left="490" w:hanging="360"/>
      </w:pPr>
      <w:r>
        <w:rPr>
          <w:rFonts w:ascii="Calibri" w:hAnsi="Calibri"/>
          <w:color w:val="1F4D78"/>
        </w:rPr>
        <w:t xml:space="preserve">•  </w:t>
      </w:r>
      <w:r>
        <w:rPr>
          <w:rFonts w:ascii="Calibri" w:hAnsi="Calibri"/>
        </w:rPr>
        <w:t>pause, resume, cancel, timeout, and recovery behavior;</w:t>
      </w:r>
    </w:p>
    <w:p>
      <w:pPr>
        <w:spacing w:after="80" w:line="300" w:lineRule="auto"/>
        <w:ind w:left="490" w:hanging="360"/>
      </w:pPr>
      <w:r>
        <w:rPr>
          <w:rFonts w:ascii="Calibri" w:hAnsi="Calibri"/>
          <w:color w:val="1F4D78"/>
        </w:rPr>
        <w:t xml:space="preserve">•  </w:t>
      </w:r>
      <w:r>
        <w:rPr>
          <w:rFonts w:ascii="Calibri" w:hAnsi="Calibri"/>
        </w:rPr>
        <w:t>tests for refusal, tamper, replay, injection, and scope expansion;</w:t>
      </w:r>
    </w:p>
    <w:p>
      <w:pPr>
        <w:spacing w:after="80" w:line="300" w:lineRule="auto"/>
        <w:ind w:left="490" w:hanging="360"/>
      </w:pPr>
      <w:r>
        <w:rPr>
          <w:rFonts w:ascii="Calibri" w:hAnsi="Calibri"/>
          <w:color w:val="1F4D78"/>
        </w:rPr>
        <w:t xml:space="preserve">•  </w:t>
      </w:r>
      <w:r>
        <w:rPr>
          <w:rFonts w:ascii="Calibri" w:hAnsi="Calibri"/>
        </w:rPr>
        <w:t>promotion, rollback, deactivation, and retirement criteria; and</w:t>
      </w:r>
    </w:p>
    <w:p>
      <w:pPr>
        <w:spacing w:after="80" w:line="300" w:lineRule="auto"/>
        <w:ind w:left="490" w:hanging="360"/>
      </w:pPr>
      <w:r>
        <w:rPr>
          <w:rFonts w:ascii="Calibri" w:hAnsi="Calibri"/>
          <w:color w:val="1F4D78"/>
        </w:rPr>
        <w:t xml:space="preserve">•  </w:t>
      </w:r>
      <w:r>
        <w:rPr>
          <w:rFonts w:ascii="Calibri" w:hAnsi="Calibri"/>
        </w:rPr>
        <w:t>owner, version, digest, provenance, and license obligations.</w:t>
      </w:r>
    </w:p>
    <w:p>
      <w:pPr>
        <w:widowControl/>
      </w:pPr>
      <w:r>
        <w:rPr>
          <w:rFonts w:ascii="Calibri" w:hAnsi="Calibri"/>
        </w:rPr>
        <w:t>Workers may not approve, activate, promote, or silently broaden themselves.</w:t>
      </w:r>
    </w:p>
    <w:p>
      <w:pPr>
        <w:pStyle w:val="Heading2"/>
      </w:pPr>
      <w:r>
        <w:t>7.2 Initial certified worker fleet</w:t>
      </w:r>
    </w:p>
    <w:p>
      <w:pPr>
        <w:widowControl/>
      </w:pPr>
      <w:r>
        <w:rPr>
          <w:rFonts w:ascii="Calibri" w:hAnsi="Calibri"/>
        </w:rPr>
        <w:t>Phase 3 prioritizes a small purposeful fleet:</w:t>
      </w:r>
    </w:p>
    <w:p>
      <w:pPr>
        <w:spacing w:after="80" w:line="300" w:lineRule="auto"/>
        <w:ind w:left="490" w:hanging="360"/>
      </w:pPr>
      <w:r>
        <w:rPr>
          <w:rFonts w:ascii="Calibri" w:hAnsi="Calibri"/>
          <w:color w:val="1F4D78"/>
        </w:rPr>
        <w:t xml:space="preserve">1.  </w:t>
      </w:r>
      <w:r>
        <w:rPr>
          <w:rFonts w:ascii="Calibri" w:hAnsi="Calibri"/>
          <w:b/>
        </w:rPr>
        <w:t>Complex Software Engineer:</w:t>
      </w:r>
      <w:r>
        <w:rPr>
          <w:rFonts w:ascii="Calibri" w:hAnsi="Calibri"/>
        </w:rPr>
        <w:t xml:space="preserve"> implements, debugs, refactors, tests, and prepares governed delivery.</w:t>
      </w:r>
    </w:p>
    <w:p>
      <w:pPr>
        <w:spacing w:after="80" w:line="300" w:lineRule="auto"/>
        <w:ind w:left="490" w:hanging="360"/>
      </w:pPr>
      <w:r>
        <w:rPr>
          <w:rFonts w:ascii="Calibri" w:hAnsi="Calibri"/>
          <w:color w:val="1F4D78"/>
        </w:rPr>
        <w:t xml:space="preserve">2.  </w:t>
      </w:r>
      <w:r>
        <w:rPr>
          <w:rFonts w:ascii="Calibri" w:hAnsi="Calibri"/>
          <w:b/>
        </w:rPr>
        <w:t>Source-Efficient Research Analyst:</w:t>
      </w:r>
      <w:r>
        <w:rPr>
          <w:rFonts w:ascii="Calibri" w:hAnsi="Calibri"/>
        </w:rPr>
        <w:t xml:space="preserve"> conducts current authoritative research with verified citations and controlled retrieval budgets.</w:t>
      </w:r>
    </w:p>
    <w:p>
      <w:pPr>
        <w:spacing w:after="80" w:line="300" w:lineRule="auto"/>
        <w:ind w:left="490" w:hanging="360"/>
      </w:pPr>
      <w:r>
        <w:rPr>
          <w:rFonts w:ascii="Calibri" w:hAnsi="Calibri"/>
          <w:color w:val="1F4D78"/>
        </w:rPr>
        <w:t xml:space="preserve">3.  </w:t>
      </w:r>
      <w:r>
        <w:rPr>
          <w:rFonts w:ascii="Calibri" w:hAnsi="Calibri"/>
          <w:b/>
        </w:rPr>
        <w:t>Independent Reviewer:</w:t>
      </w:r>
      <w:r>
        <w:rPr>
          <w:rFonts w:ascii="Calibri" w:hAnsi="Calibri"/>
        </w:rPr>
        <w:t xml:space="preserve"> evaluates exact objectives, diffs, tests, evidence, security, and scope without sharing the producer's mutable context.</w:t>
      </w:r>
    </w:p>
    <w:p>
      <w:pPr>
        <w:spacing w:after="80" w:line="300" w:lineRule="auto"/>
        <w:ind w:left="490" w:hanging="360"/>
      </w:pPr>
      <w:r>
        <w:rPr>
          <w:rFonts w:ascii="Calibri" w:hAnsi="Calibri"/>
          <w:color w:val="1F4D78"/>
        </w:rPr>
        <w:t xml:space="preserve">4.  </w:t>
      </w:r>
      <w:r>
        <w:rPr>
          <w:rFonts w:ascii="Calibri" w:hAnsi="Calibri"/>
          <w:b/>
        </w:rPr>
        <w:t>Website Reconstruction Engineer:</w:t>
      </w:r>
      <w:r>
        <w:rPr>
          <w:rFonts w:ascii="Calibri" w:hAnsi="Calibri"/>
        </w:rPr>
        <w:t xml:space="preserve"> reproduces permitted page structures and visual systems using original code and approved assets.</w:t>
      </w:r>
    </w:p>
    <w:p>
      <w:pPr>
        <w:spacing w:after="80" w:line="300" w:lineRule="auto"/>
        <w:ind w:left="490" w:hanging="360"/>
      </w:pPr>
      <w:r>
        <w:rPr>
          <w:rFonts w:ascii="Calibri" w:hAnsi="Calibri"/>
          <w:color w:val="1F4D78"/>
        </w:rPr>
        <w:t xml:space="preserve">5.  </w:t>
      </w:r>
      <w:r>
        <w:rPr>
          <w:rFonts w:ascii="Calibri" w:hAnsi="Calibri"/>
          <w:b/>
        </w:rPr>
        <w:t>Learning and Assignment Tutor:</w:t>
      </w:r>
      <w:r>
        <w:rPr>
          <w:rFonts w:ascii="Calibri" w:hAnsi="Calibri"/>
        </w:rPr>
        <w:t xml:space="preserve"> explains material, helps solve assignments, verifies answers, cites sources when required, and follows the Founder's academic-use instructions.</w:t>
      </w:r>
    </w:p>
    <w:p>
      <w:pPr>
        <w:spacing w:after="80" w:line="300" w:lineRule="auto"/>
        <w:ind w:left="490" w:hanging="360"/>
      </w:pPr>
      <w:r>
        <w:rPr>
          <w:rFonts w:ascii="Calibri" w:hAnsi="Calibri"/>
          <w:color w:val="1F4D78"/>
        </w:rPr>
        <w:t xml:space="preserve">6.  </w:t>
      </w:r>
      <w:r>
        <w:rPr>
          <w:rFonts w:ascii="Calibri" w:hAnsi="Calibri"/>
          <w:b/>
        </w:rPr>
        <w:t>Adapter Engineer:</w:t>
      </w:r>
      <w:r>
        <w:rPr>
          <w:rFonts w:ascii="Calibri" w:hAnsi="Calibri"/>
        </w:rPr>
        <w:t xml:space="preserve"> implements and verifies IRIS-owned provider adapters under the Adapter Studio contract.</w:t>
      </w:r>
    </w:p>
    <w:p>
      <w:pPr>
        <w:spacing w:after="80" w:line="300" w:lineRule="auto"/>
        <w:ind w:left="490" w:hanging="360"/>
      </w:pPr>
      <w:r>
        <w:rPr>
          <w:rFonts w:ascii="Calibri" w:hAnsi="Calibri"/>
          <w:color w:val="1F4D78"/>
        </w:rPr>
        <w:t xml:space="preserve">7.  </w:t>
      </w:r>
      <w:r>
        <w:rPr>
          <w:rFonts w:ascii="Calibri" w:hAnsi="Calibri"/>
          <w:b/>
        </w:rPr>
        <w:t>Operations and Recovery Worker:</w:t>
      </w:r>
      <w:r>
        <w:rPr>
          <w:rFonts w:ascii="Calibri" w:hAnsi="Calibri"/>
        </w:rPr>
        <w:t xml:space="preserve"> monitors long-running missions, detects stalls, resumes from durable state, and validates cleanup and remote equality.</w:t>
      </w:r>
    </w:p>
    <w:p>
      <w:pPr>
        <w:widowControl/>
      </w:pPr>
      <w:r>
        <w:rPr>
          <w:rFonts w:ascii="Calibri" w:hAnsi="Calibri"/>
        </w:rPr>
        <w:t>Additional workers are created only when repeated objectives demonstrate a stable specialization. A new worker is not the default response to every task.</w:t>
      </w:r>
    </w:p>
    <w:p>
      <w:pPr>
        <w:pStyle w:val="Heading2"/>
      </w:pPr>
      <w:r>
        <w:t>7.3 Worker Foundry lifecycle</w:t>
      </w:r>
    </w:p>
    <w:p>
      <w:pPr>
        <w:widowControl/>
        <w:spacing w:before="120" w:after="200"/>
        <w:jc w:val="center"/>
      </w:pPr>
      <w:r>
        <w:rPr>
          <w:rStyle w:val="IRISCode"/>
        </w:rPr>
        <w:t>need -&gt; reviewed pattern -&gt; original IRIS specification -&gt; permission minimization -&gt; tool/model binding -&gt; generated implementation -&gt; isolated tests -&gt; adversarial tests -&gt; independent review -&gt; Founder activation -&gt; canary missions -&gt; scored promotion -&gt; monitored operation -&gt; correction, rollback, or retirement</w:t>
      </w:r>
    </w:p>
    <w:p>
      <w:pPr>
        <w:widowControl/>
      </w:pPr>
      <w:r>
        <w:rPr>
          <w:rFonts w:ascii="Calibri" w:hAnsi="Calibri"/>
        </w:rPr>
        <w:t>External systems may supply reviewed patterns when provenance and licensing permit. IRIS builds an original worker and retains no hidden dependency unless a specific replaceable provider is explicitly adopted.</w:t>
      </w:r>
    </w:p>
    <w:p>
      <w:pPr>
        <w:pStyle w:val="Heading2"/>
      </w:pPr>
      <w:r>
        <w:t>7.4 Multi-worker supervision</w:t>
      </w:r>
    </w:p>
    <w:p>
      <w:pPr>
        <w:widowControl/>
      </w:pPr>
      <w:r>
        <w:rPr>
          <w:rFonts w:ascii="Calibri" w:hAnsi="Calibri"/>
        </w:rPr>
        <w:t>IRIS decomposes objectives into dependency-ordered task graphs, assigns separate scoped contexts, prevents overlapping writes, and requires producer/reviewer separation. She maintains the authoritative mission state and can pause, steer, cancel, retry, reassign, or retire a worker.</w:t>
      </w:r>
    </w:p>
    <w:p>
      <w:pPr>
        <w:widowControl/>
      </w:pPr>
      <w:r>
        <w:rPr>
          <w:rFonts w:ascii="Calibri" w:hAnsi="Calibri"/>
        </w:rPr>
        <w:t>When workers disagree, IRIS preserves both claims, retrieves exact evidence, applies the written objective and governing sources, requests independent review when necessary, and reports unresolved conflict to the Founder. Majority vote is not evidence.</w:t>
      </w:r>
    </w:p>
    <w:p>
      <w:pPr>
        <w:pStyle w:val="Heading1"/>
      </w:pPr>
      <w:r>
        <w:t>8. Continuous evolution and learning</w:t>
      </w:r>
    </w:p>
    <w:p>
      <w:pPr>
        <w:widowControl/>
      </w:pPr>
      <w:r>
        <w:rPr>
          <w:rFonts w:ascii="Calibri" w:hAnsi="Calibri"/>
        </w:rPr>
        <w:t>IRIS improves through governed artifacts before model-weight training:</w:t>
      </w:r>
    </w:p>
    <w:p>
      <w:pPr>
        <w:spacing w:after="80" w:line="300" w:lineRule="auto"/>
        <w:ind w:left="490" w:hanging="360"/>
      </w:pPr>
      <w:r>
        <w:rPr>
          <w:rFonts w:ascii="Calibri" w:hAnsi="Calibri"/>
          <w:color w:val="1F4D78"/>
        </w:rPr>
        <w:t xml:space="preserve">1.  </w:t>
      </w:r>
      <w:r>
        <w:rPr>
          <w:rFonts w:ascii="Calibri" w:hAnsi="Calibri"/>
        </w:rPr>
        <w:t>capture redacted task and correction evidence;</w:t>
      </w:r>
    </w:p>
    <w:p>
      <w:pPr>
        <w:spacing w:after="80" w:line="300" w:lineRule="auto"/>
        <w:ind w:left="490" w:hanging="360"/>
      </w:pPr>
      <w:r>
        <w:rPr>
          <w:rFonts w:ascii="Calibri" w:hAnsi="Calibri"/>
          <w:color w:val="1F4D78"/>
        </w:rPr>
        <w:t xml:space="preserve">2.  </w:t>
      </w:r>
      <w:r>
        <w:rPr>
          <w:rFonts w:ascii="Calibri" w:hAnsi="Calibri"/>
        </w:rPr>
        <w:t>classify the durable lesson;</w:t>
      </w:r>
    </w:p>
    <w:p>
      <w:pPr>
        <w:spacing w:after="80" w:line="300" w:lineRule="auto"/>
        <w:ind w:left="490" w:hanging="360"/>
      </w:pPr>
      <w:r>
        <w:rPr>
          <w:rFonts w:ascii="Calibri" w:hAnsi="Calibri"/>
          <w:color w:val="1F4D78"/>
        </w:rPr>
        <w:t xml:space="preserve">3.  </w:t>
      </w:r>
      <w:r>
        <w:rPr>
          <w:rFonts w:ascii="Calibri" w:hAnsi="Calibri"/>
        </w:rPr>
        <w:t>create or update a skill, deterministic command, test, adapter contract, evaluation case, or policy proposal;</w:t>
      </w:r>
    </w:p>
    <w:p>
      <w:pPr>
        <w:spacing w:after="80" w:line="300" w:lineRule="auto"/>
        <w:ind w:left="490" w:hanging="360"/>
      </w:pPr>
      <w:r>
        <w:rPr>
          <w:rFonts w:ascii="Calibri" w:hAnsi="Calibri"/>
          <w:color w:val="1F4D78"/>
        </w:rPr>
        <w:t xml:space="preserve">4.  </w:t>
      </w:r>
      <w:r>
        <w:rPr>
          <w:rFonts w:ascii="Calibri" w:hAnsi="Calibri"/>
        </w:rPr>
        <w:t>run regression and held-out evaluation;</w:t>
      </w:r>
    </w:p>
    <w:p>
      <w:pPr>
        <w:spacing w:after="80" w:line="300" w:lineRule="auto"/>
        <w:ind w:left="490" w:hanging="360"/>
      </w:pPr>
      <w:r>
        <w:rPr>
          <w:rFonts w:ascii="Calibri" w:hAnsi="Calibri"/>
          <w:color w:val="1F4D78"/>
        </w:rPr>
        <w:t xml:space="preserve">5.  </w:t>
      </w:r>
      <w:r>
        <w:rPr>
          <w:rFonts w:ascii="Calibri" w:hAnsi="Calibri"/>
        </w:rPr>
        <w:t>obtain required review and Founder approval;</w:t>
      </w:r>
    </w:p>
    <w:p>
      <w:pPr>
        <w:spacing w:after="80" w:line="300" w:lineRule="auto"/>
        <w:ind w:left="490" w:hanging="360"/>
      </w:pPr>
      <w:r>
        <w:rPr>
          <w:rFonts w:ascii="Calibri" w:hAnsi="Calibri"/>
          <w:color w:val="1F4D78"/>
        </w:rPr>
        <w:t xml:space="preserve">6.  </w:t>
      </w:r>
      <w:r>
        <w:rPr>
          <w:rFonts w:ascii="Calibri" w:hAnsi="Calibri"/>
        </w:rPr>
        <w:t>register the approved revision with provenance and rollback; and</w:t>
      </w:r>
    </w:p>
    <w:p>
      <w:pPr>
        <w:spacing w:after="80" w:line="300" w:lineRule="auto"/>
        <w:ind w:left="490" w:hanging="360"/>
      </w:pPr>
      <w:r>
        <w:rPr>
          <w:rFonts w:ascii="Calibri" w:hAnsi="Calibri"/>
          <w:color w:val="1F4D78"/>
        </w:rPr>
        <w:t xml:space="preserve">7.  </w:t>
      </w:r>
      <w:r>
        <w:rPr>
          <w:rFonts w:ascii="Calibri" w:hAnsi="Calibri"/>
        </w:rPr>
        <w:t>monitor whether the change improves real outcomes without regressions.</w:t>
      </w:r>
    </w:p>
    <w:p>
      <w:pPr>
        <w:widowControl/>
      </w:pPr>
      <w:r>
        <w:rPr>
          <w:rFonts w:ascii="Calibri" w:hAnsi="Calibri"/>
        </w:rPr>
        <w:t>Fine-tuning is optional and later. It requires a sufficiently large, licensed, privacy-reviewed, quality-scored dataset; an immutable base-model identity; reproducible training configuration; before/after held-out evaluations; safety regression checks; cost and removal plans; and explicit Founder approval. Conversation history alone is not training data.</w:t>
      </w:r>
    </w:p>
    <w:p>
      <w:pPr>
        <w:widowControl/>
      </w:pPr>
      <w:r>
        <w:rPr>
          <w:rFonts w:ascii="Calibri" w:hAnsi="Calibri"/>
        </w:rPr>
        <w:t>IRIS must never learn an unsafe shortcut from convenience. Repeated approvals do not become permanent permission unless the Founder explicitly creates a governed standing policy.</w:t>
      </w:r>
    </w:p>
    <w:p>
      <w:pPr>
        <w:pStyle w:val="Heading1"/>
      </w:pPr>
      <w:r>
        <w:t>9. Access and safety model</w:t>
      </w:r>
    </w:p>
    <w:p>
      <w:pPr>
        <w:widowControl/>
      </w:pPr>
      <w:r>
        <w:rPr>
          <w:rFonts w:ascii="Calibri" w:hAnsi="Calibri"/>
        </w:rPr>
        <w:t>The Founder may activate a visible, authenticated, session-bound Full access profile for registered ordinary capabilities. Full access is broad operational convenience, not unrestricted autonomy.</w:t>
      </w:r>
    </w:p>
    <w:p>
      <w:pPr>
        <w:widowControl/>
      </w:pPr>
      <w:r>
        <w:rPr>
          <w:rFonts w:ascii="Calibri" w:hAnsi="Calibri"/>
        </w:rPr>
        <w:t>Full access remains:</w:t>
      </w:r>
    </w:p>
    <w:p>
      <w:pPr>
        <w:spacing w:after="80" w:line="300" w:lineRule="auto"/>
        <w:ind w:left="490" w:hanging="360"/>
      </w:pPr>
      <w:r>
        <w:rPr>
          <w:rFonts w:ascii="Calibri" w:hAnsi="Calibri"/>
          <w:color w:val="1F4D78"/>
        </w:rPr>
        <w:t xml:space="preserve">•  </w:t>
      </w:r>
      <w:r>
        <w:rPr>
          <w:rFonts w:ascii="Calibri" w:hAnsi="Calibri"/>
        </w:rPr>
        <w:t>explicit and attributable to the Founder;</w:t>
      </w:r>
    </w:p>
    <w:p>
      <w:pPr>
        <w:spacing w:after="80" w:line="300" w:lineRule="auto"/>
        <w:ind w:left="490" w:hanging="360"/>
      </w:pPr>
      <w:r>
        <w:rPr>
          <w:rFonts w:ascii="Calibri" w:hAnsi="Calibri"/>
          <w:color w:val="1F4D78"/>
        </w:rPr>
        <w:t xml:space="preserve">•  </w:t>
      </w:r>
      <w:r>
        <w:rPr>
          <w:rFonts w:ascii="Calibri" w:hAnsi="Calibri"/>
        </w:rPr>
        <w:t>scoped to registered ordinary capabilities;</w:t>
      </w:r>
    </w:p>
    <w:p>
      <w:pPr>
        <w:spacing w:after="80" w:line="300" w:lineRule="auto"/>
        <w:ind w:left="490" w:hanging="360"/>
      </w:pPr>
      <w:r>
        <w:rPr>
          <w:rFonts w:ascii="Calibri" w:hAnsi="Calibri"/>
          <w:color w:val="1F4D78"/>
        </w:rPr>
        <w:t xml:space="preserve">•  </w:t>
      </w:r>
      <w:r>
        <w:rPr>
          <w:rFonts w:ascii="Calibri" w:hAnsi="Calibri"/>
        </w:rPr>
        <w:t>visible, time-bounded, revocable, interruptible, and audit-chained;</w:t>
      </w:r>
    </w:p>
    <w:p>
      <w:pPr>
        <w:spacing w:after="80" w:line="300" w:lineRule="auto"/>
        <w:ind w:left="490" w:hanging="360"/>
      </w:pPr>
      <w:r>
        <w:rPr>
          <w:rFonts w:ascii="Calibri" w:hAnsi="Calibri"/>
          <w:color w:val="1F4D78"/>
        </w:rPr>
        <w:t xml:space="preserve">•  </w:t>
      </w:r>
      <w:r>
        <w:rPr>
          <w:rFonts w:ascii="Calibri" w:hAnsi="Calibri"/>
        </w:rPr>
        <w:t>constrained by exact repository, path, tool, network, and budget policies; and</w:t>
      </w:r>
    </w:p>
    <w:p>
      <w:pPr>
        <w:spacing w:after="80" w:line="300" w:lineRule="auto"/>
        <w:ind w:left="490" w:hanging="360"/>
      </w:pPr>
      <w:r>
        <w:rPr>
          <w:rFonts w:ascii="Calibri" w:hAnsi="Calibri"/>
          <w:color w:val="1F4D78"/>
        </w:rPr>
        <w:t xml:space="preserve">•  </w:t>
      </w:r>
      <w:r>
        <w:rPr>
          <w:rFonts w:ascii="Calibri" w:hAnsi="Calibri"/>
        </w:rPr>
        <w:t>fail-closed when state, identity, approval, evidence, or provider health is uncertain.</w:t>
      </w:r>
    </w:p>
    <w:p>
      <w:pPr>
        <w:widowControl/>
      </w:pPr>
      <w:r>
        <w:rPr>
          <w:rFonts w:ascii="Calibri" w:hAnsi="Calibri"/>
        </w:rPr>
        <w:t>The following remain separately protected regardless of Full access or worker maturity:</w:t>
      </w:r>
    </w:p>
    <w:p>
      <w:pPr>
        <w:spacing w:after="80" w:line="300" w:lineRule="auto"/>
        <w:ind w:left="490" w:hanging="360"/>
      </w:pPr>
      <w:r>
        <w:rPr>
          <w:rFonts w:ascii="Calibri" w:hAnsi="Calibri"/>
          <w:color w:val="1F4D78"/>
        </w:rPr>
        <w:t xml:space="preserve">•  </w:t>
      </w:r>
      <w:r>
        <w:rPr>
          <w:rFonts w:ascii="Calibri" w:hAnsi="Calibri"/>
        </w:rPr>
        <w:t>raw credential or secret disclosure;</w:t>
      </w:r>
    </w:p>
    <w:p>
      <w:pPr>
        <w:spacing w:after="80" w:line="300" w:lineRule="auto"/>
        <w:ind w:left="490" w:hanging="360"/>
      </w:pPr>
      <w:r>
        <w:rPr>
          <w:rFonts w:ascii="Calibri" w:hAnsi="Calibri"/>
          <w:color w:val="1F4D78"/>
        </w:rPr>
        <w:t xml:space="preserve">•  </w:t>
      </w:r>
      <w:r>
        <w:rPr>
          <w:rFonts w:ascii="Calibri" w:hAnsi="Calibri"/>
        </w:rPr>
        <w:t>spending, paid-resource creation, or financial commitment;</w:t>
      </w:r>
    </w:p>
    <w:p>
      <w:pPr>
        <w:spacing w:after="80" w:line="300" w:lineRule="auto"/>
        <w:ind w:left="490" w:hanging="360"/>
      </w:pPr>
      <w:r>
        <w:rPr>
          <w:rFonts w:ascii="Calibri" w:hAnsi="Calibri"/>
          <w:color w:val="1F4D78"/>
        </w:rPr>
        <w:t xml:space="preserve">•  </w:t>
      </w:r>
      <w:r>
        <w:rPr>
          <w:rFonts w:ascii="Calibri" w:hAnsi="Calibri"/>
        </w:rPr>
        <w:t>deployment or public/LAN exposure;</w:t>
      </w:r>
    </w:p>
    <w:p>
      <w:pPr>
        <w:spacing w:after="80" w:line="300" w:lineRule="auto"/>
        <w:ind w:left="490" w:hanging="360"/>
      </w:pPr>
      <w:r>
        <w:rPr>
          <w:rFonts w:ascii="Calibri" w:hAnsi="Calibri"/>
          <w:color w:val="1F4D78"/>
        </w:rPr>
        <w:t xml:space="preserve">•  </w:t>
      </w:r>
      <w:r>
        <w:rPr>
          <w:rFonts w:ascii="Calibri" w:hAnsi="Calibri"/>
        </w:rPr>
        <w:t>repository, organization, account, billing, ruleset, or branch-protection administration;</w:t>
      </w:r>
    </w:p>
    <w:p>
      <w:pPr>
        <w:spacing w:after="80" w:line="300" w:lineRule="auto"/>
        <w:ind w:left="490" w:hanging="360"/>
      </w:pPr>
      <w:r>
        <w:rPr>
          <w:rFonts w:ascii="Calibri" w:hAnsi="Calibri"/>
          <w:color w:val="1F4D78"/>
        </w:rPr>
        <w:t xml:space="preserve">•  </w:t>
      </w:r>
      <w:r>
        <w:rPr>
          <w:rFonts w:ascii="Calibri" w:hAnsi="Calibri"/>
        </w:rPr>
        <w:t>force-push, history rewrite, or destructive data operations;</w:t>
      </w:r>
    </w:p>
    <w:p>
      <w:pPr>
        <w:spacing w:after="80" w:line="300" w:lineRule="auto"/>
        <w:ind w:left="490" w:hanging="360"/>
      </w:pPr>
      <w:r>
        <w:rPr>
          <w:rFonts w:ascii="Calibri" w:hAnsi="Calibri"/>
          <w:color w:val="1F4D78"/>
        </w:rPr>
        <w:t xml:space="preserve">•  </w:t>
      </w:r>
      <w:r>
        <w:rPr>
          <w:rFonts w:ascii="Calibri" w:hAnsi="Calibri"/>
        </w:rPr>
        <w:t>privilege elevation or persistence beyond an approved lifecycle; and</w:t>
      </w:r>
    </w:p>
    <w:p>
      <w:pPr>
        <w:spacing w:after="80" w:line="300" w:lineRule="auto"/>
        <w:ind w:left="490" w:hanging="360"/>
      </w:pPr>
      <w:r>
        <w:rPr>
          <w:rFonts w:ascii="Calibri" w:hAnsi="Calibri"/>
          <w:color w:val="1F4D78"/>
        </w:rPr>
        <w:t xml:space="preserve">•  </w:t>
      </w:r>
      <w:r>
        <w:rPr>
          <w:rFonts w:ascii="Calibri" w:hAnsi="Calibri"/>
        </w:rPr>
        <w:t>final Phase 0 graduation execution and completion claims.</w:t>
      </w:r>
    </w:p>
    <w:p>
      <w:pPr>
        <w:pStyle w:val="Heading1"/>
      </w:pPr>
      <w:r>
        <w:t>10. Failure, correction, and recovery</w:t>
      </w:r>
    </w:p>
    <w:p>
      <w:pPr>
        <w:widowControl/>
      </w:pPr>
      <w:r>
        <w:rPr>
          <w:rFonts w:ascii="Calibri" w:hAnsi="Calibri"/>
        </w:rPr>
        <w:t>IRIS and every worker must fail closed when an invariant cannot be proven. An error record contains the exact stage, code, cause evidence, affected state, actions completed, actions not completed, rollback status, cleanup status, and next safe choices.</w:t>
      </w:r>
    </w:p>
    <w:p>
      <w:pPr>
        <w:widowControl/>
      </w:pPr>
      <w:r>
        <w:rPr>
          <w:rFonts w:ascii="Calibri" w:hAnsi="Calibri"/>
        </w:rPr>
        <w:t>Automatic repair is allowed only inside the approved objective, paths, attempts, tools, and budgets. A repair that changes scope, dependencies, provider, security posture, data exposure, protected effect, or acceptance criteria requires a new proposal and approval.</w:t>
      </w:r>
    </w:p>
    <w:p>
      <w:pPr>
        <w:widowControl/>
      </w:pPr>
      <w:r>
        <w:rPr>
          <w:rFonts w:ascii="Calibri" w:hAnsi="Calibri"/>
        </w:rPr>
        <w:t>Terminal state is monotonic. Cancellation, denial, expiry, or failure cannot later become success because a delayed model, browser, terminal, worker, or provider response arrives.</w:t>
      </w:r>
    </w:p>
    <w:p>
      <w:pPr>
        <w:pStyle w:val="Heading1"/>
      </w:pPr>
      <w:r>
        <w:t>11. Measurement and certification</w:t>
      </w:r>
    </w:p>
    <w:p>
      <w:pPr>
        <w:widowControl/>
      </w:pPr>
      <w:r>
        <w:rPr>
          <w:rFonts w:ascii="Calibri" w:hAnsi="Calibri"/>
        </w:rPr>
        <w:t>IRIS is compared against a recorded Codex baseline on held-out tasks. Scores cover:</w:t>
      </w:r>
    </w:p>
    <w:p>
      <w:pPr>
        <w:spacing w:after="80" w:line="300" w:lineRule="auto"/>
        <w:ind w:left="490" w:hanging="360"/>
      </w:pPr>
      <w:r>
        <w:rPr>
          <w:rFonts w:ascii="Calibri" w:hAnsi="Calibri"/>
          <w:color w:val="1F4D78"/>
        </w:rPr>
        <w:t xml:space="preserve">•  </w:t>
      </w:r>
      <w:r>
        <w:rPr>
          <w:rFonts w:ascii="Calibri" w:hAnsi="Calibri"/>
        </w:rPr>
        <w:t>objective correctness;</w:t>
      </w:r>
    </w:p>
    <w:p>
      <w:pPr>
        <w:spacing w:after="80" w:line="300" w:lineRule="auto"/>
        <w:ind w:left="490" w:hanging="360"/>
      </w:pPr>
      <w:r>
        <w:rPr>
          <w:rFonts w:ascii="Calibri" w:hAnsi="Calibri"/>
          <w:color w:val="1F4D78"/>
        </w:rPr>
        <w:t xml:space="preserve">•  </w:t>
      </w:r>
      <w:r>
        <w:rPr>
          <w:rFonts w:ascii="Calibri" w:hAnsi="Calibri"/>
        </w:rPr>
        <w:t>root-cause and reasoning quality;</w:t>
      </w:r>
    </w:p>
    <w:p>
      <w:pPr>
        <w:spacing w:after="80" w:line="300" w:lineRule="auto"/>
        <w:ind w:left="490" w:hanging="360"/>
      </w:pPr>
      <w:r>
        <w:rPr>
          <w:rFonts w:ascii="Calibri" w:hAnsi="Calibri"/>
          <w:color w:val="1F4D78"/>
        </w:rPr>
        <w:t xml:space="preserve">•  </w:t>
      </w:r>
      <w:r>
        <w:rPr>
          <w:rFonts w:ascii="Calibri" w:hAnsi="Calibri"/>
        </w:rPr>
        <w:t>code and architecture quality;</w:t>
      </w:r>
    </w:p>
    <w:p>
      <w:pPr>
        <w:spacing w:after="80" w:line="300" w:lineRule="auto"/>
        <w:ind w:left="490" w:hanging="360"/>
      </w:pPr>
      <w:r>
        <w:rPr>
          <w:rFonts w:ascii="Calibri" w:hAnsi="Calibri"/>
          <w:color w:val="1F4D78"/>
        </w:rPr>
        <w:t xml:space="preserve">•  </w:t>
      </w:r>
      <w:r>
        <w:rPr>
          <w:rFonts w:ascii="Calibri" w:hAnsi="Calibri"/>
        </w:rPr>
        <w:t>research and citation accuracy;</w:t>
      </w:r>
    </w:p>
    <w:p>
      <w:pPr>
        <w:spacing w:after="80" w:line="300" w:lineRule="auto"/>
        <w:ind w:left="490" w:hanging="360"/>
      </w:pPr>
      <w:r>
        <w:rPr>
          <w:rFonts w:ascii="Calibri" w:hAnsi="Calibri"/>
          <w:color w:val="1F4D78"/>
        </w:rPr>
        <w:t xml:space="preserve">•  </w:t>
      </w:r>
      <w:r>
        <w:rPr>
          <w:rFonts w:ascii="Calibri" w:hAnsi="Calibri"/>
        </w:rPr>
        <w:t>visual and accessibility fidelity;</w:t>
      </w:r>
    </w:p>
    <w:p>
      <w:pPr>
        <w:spacing w:after="80" w:line="300" w:lineRule="auto"/>
        <w:ind w:left="490" w:hanging="360"/>
      </w:pPr>
      <w:r>
        <w:rPr>
          <w:rFonts w:ascii="Calibri" w:hAnsi="Calibri"/>
          <w:color w:val="1F4D78"/>
        </w:rPr>
        <w:t xml:space="preserve">•  </w:t>
      </w:r>
      <w:r>
        <w:rPr>
          <w:rFonts w:ascii="Calibri" w:hAnsi="Calibri"/>
        </w:rPr>
        <w:t>scope and permission discipline;</w:t>
      </w:r>
    </w:p>
    <w:p>
      <w:pPr>
        <w:spacing w:after="80" w:line="300" w:lineRule="auto"/>
        <w:ind w:left="490" w:hanging="360"/>
      </w:pPr>
      <w:r>
        <w:rPr>
          <w:rFonts w:ascii="Calibri" w:hAnsi="Calibri"/>
          <w:color w:val="1F4D78"/>
        </w:rPr>
        <w:t xml:space="preserve">•  </w:t>
      </w:r>
      <w:r>
        <w:rPr>
          <w:rFonts w:ascii="Calibri" w:hAnsi="Calibri"/>
        </w:rPr>
        <w:t>test, review, and evidence quality;</w:t>
      </w:r>
    </w:p>
    <w:p>
      <w:pPr>
        <w:spacing w:after="80" w:line="300" w:lineRule="auto"/>
        <w:ind w:left="490" w:hanging="360"/>
      </w:pPr>
      <w:r>
        <w:rPr>
          <w:rFonts w:ascii="Calibri" w:hAnsi="Calibri"/>
          <w:color w:val="1F4D78"/>
        </w:rPr>
        <w:t xml:space="preserve">•  </w:t>
      </w:r>
      <w:r>
        <w:rPr>
          <w:rFonts w:ascii="Calibri" w:hAnsi="Calibri"/>
        </w:rPr>
        <w:t>latency, cost, and resource efficiency;</w:t>
      </w:r>
    </w:p>
    <w:p>
      <w:pPr>
        <w:spacing w:after="80" w:line="300" w:lineRule="auto"/>
        <w:ind w:left="490" w:hanging="360"/>
      </w:pPr>
      <w:r>
        <w:rPr>
          <w:rFonts w:ascii="Calibri" w:hAnsi="Calibri"/>
          <w:color w:val="1F4D78"/>
        </w:rPr>
        <w:t xml:space="preserve">•  </w:t>
      </w:r>
      <w:r>
        <w:rPr>
          <w:rFonts w:ascii="Calibri" w:hAnsi="Calibri"/>
        </w:rPr>
        <w:t>interruption, resume, rollback, and cleanup reliability; and</w:t>
      </w:r>
    </w:p>
    <w:p>
      <w:pPr>
        <w:spacing w:after="80" w:line="300" w:lineRule="auto"/>
        <w:ind w:left="490" w:hanging="360"/>
      </w:pPr>
      <w:r>
        <w:rPr>
          <w:rFonts w:ascii="Calibri" w:hAnsi="Calibri"/>
          <w:color w:val="1F4D78"/>
        </w:rPr>
        <w:t xml:space="preserve">•  </w:t>
      </w:r>
      <w:r>
        <w:rPr>
          <w:rFonts w:ascii="Calibri" w:hAnsi="Calibri"/>
        </w:rPr>
        <w:t>Founder usability and truthful limitation reporting.</w:t>
      </w:r>
    </w:p>
    <w:p>
      <w:pPr>
        <w:widowControl/>
      </w:pPr>
      <w:r>
        <w:rPr>
          <w:rFonts w:ascii="Calibri" w:hAnsi="Calibri"/>
        </w:rPr>
        <w:t>A capability advances only after passing its own held-out evaluation and regression suite. Phase or fleet maturity never grants blanket authority to a newly added capability.</w:t>
      </w:r>
    </w:p>
    <w:p>
      <w:pPr>
        <w:widowControl/>
      </w:pPr>
      <w:r>
        <w:rPr>
          <w:rFonts w:ascii="Calibri" w:hAnsi="Calibri"/>
        </w:rPr>
        <w:t>Phase 3 is operationally successful when IRIS can create and certify the initial worker fleet, complete a real multi-worker objective, detect and correct a material worker error, acquire or build one missing adapter, retire or roll back a worker cleanly, and maintain canonical mission truth throughout the lifecycle.</w:t>
      </w:r>
    </w:p>
    <w:p>
      <w:pPr>
        <w:pStyle w:val="Heading1"/>
      </w:pPr>
      <w:r>
        <w:t>12. Required consultation rule</w:t>
      </w:r>
    </w:p>
    <w:p>
      <w:pPr>
        <w:widowControl/>
      </w:pPr>
      <w:r>
        <w:rPr>
          <w:rFonts w:ascii="Calibri" w:hAnsi="Calibri"/>
        </w:rPr>
        <w:t>Codex, IRIS, workers, and future operators must consult this Charter whenever a task involves Phase 2, Phase 3, worker creation, self-improvement, capability acquisition, adapter creation, model routing, research parity, Codex parity, website reproduction, Full access, or handoff of ordinary development work.</w:t>
      </w:r>
    </w:p>
    <w:p>
      <w:pPr>
        <w:widowControl/>
      </w:pPr>
      <w:r>
        <w:rPr>
          <w:rFonts w:ascii="Calibri" w:hAnsi="Calibri"/>
        </w:rPr>
        <w:t>At the beginning of such a task they must verify:</w:t>
      </w:r>
    </w:p>
    <w:p>
      <w:pPr>
        <w:spacing w:after="80" w:line="300" w:lineRule="auto"/>
        <w:ind w:left="490" w:hanging="360"/>
      </w:pPr>
      <w:r>
        <w:rPr>
          <w:rFonts w:ascii="Calibri" w:hAnsi="Calibri"/>
          <w:color w:val="1F4D78"/>
        </w:rPr>
        <w:t xml:space="preserve">1.  </w:t>
      </w:r>
      <w:r>
        <w:rPr>
          <w:rFonts w:ascii="Calibri" w:hAnsi="Calibri"/>
        </w:rPr>
        <w:t>the current explicit Founder instruction;</w:t>
      </w:r>
    </w:p>
    <w:p>
      <w:pPr>
        <w:spacing w:after="80" w:line="300" w:lineRule="auto"/>
        <w:ind w:left="490" w:hanging="360"/>
      </w:pPr>
      <w:r>
        <w:rPr>
          <w:rFonts w:ascii="Calibri" w:hAnsi="Calibri"/>
          <w:color w:val="1F4D78"/>
        </w:rPr>
        <w:t xml:space="preserve">2.  </w:t>
      </w:r>
      <w:r>
        <w:rPr>
          <w:rFonts w:ascii="Calibri" w:hAnsi="Calibri"/>
        </w:rPr>
        <w:t>this Charter's status and exact canonical revision;</w:t>
      </w:r>
    </w:p>
    <w:p>
      <w:pPr>
        <w:spacing w:after="80" w:line="300" w:lineRule="auto"/>
        <w:ind w:left="490" w:hanging="360"/>
      </w:pPr>
      <w:r>
        <w:rPr>
          <w:rFonts w:ascii="Calibri" w:hAnsi="Calibri"/>
          <w:color w:val="1F4D78"/>
        </w:rPr>
        <w:t xml:space="preserve">3.  </w:t>
      </w:r>
      <w:r>
        <w:rPr>
          <w:rFonts w:ascii="Calibri" w:hAnsi="Calibri"/>
        </w:rPr>
        <w:t>the original Build Bible, Governing Architecture, and Canonical Development Roadmap provisions relevant to the objective;</w:t>
      </w:r>
    </w:p>
    <w:p>
      <w:pPr>
        <w:spacing w:after="80" w:line="300" w:lineRule="auto"/>
        <w:ind w:left="490" w:hanging="360"/>
      </w:pPr>
      <w:r>
        <w:rPr>
          <w:rFonts w:ascii="Calibri" w:hAnsi="Calibri"/>
          <w:color w:val="1F4D78"/>
        </w:rPr>
        <w:t xml:space="preserve">4.  </w:t>
      </w:r>
      <w:r>
        <w:rPr>
          <w:rFonts w:ascii="Calibri" w:hAnsi="Calibri"/>
        </w:rPr>
        <w:t>the current Constitution, approval policy, security policy, capability specification, model and provider registries, and exact coordination task;</w:t>
      </w:r>
    </w:p>
    <w:p>
      <w:pPr>
        <w:spacing w:after="80" w:line="300" w:lineRule="auto"/>
        <w:ind w:left="490" w:hanging="360"/>
      </w:pPr>
      <w:r>
        <w:rPr>
          <w:rFonts w:ascii="Calibri" w:hAnsi="Calibri"/>
          <w:color w:val="1F4D78"/>
        </w:rPr>
        <w:t xml:space="preserve">5.  </w:t>
      </w:r>
      <w:r>
        <w:rPr>
          <w:rFonts w:ascii="Calibri" w:hAnsi="Calibri"/>
        </w:rPr>
        <w:t>repository, runtime, provider, and resource state; and</w:t>
      </w:r>
    </w:p>
    <w:p>
      <w:pPr>
        <w:spacing w:after="80" w:line="300" w:lineRule="auto"/>
        <w:ind w:left="490" w:hanging="360"/>
      </w:pPr>
      <w:r>
        <w:rPr>
          <w:rFonts w:ascii="Calibri" w:hAnsi="Calibri"/>
          <w:color w:val="1F4D78"/>
        </w:rPr>
        <w:t xml:space="preserve">6.  </w:t>
      </w:r>
      <w:r>
        <w:rPr>
          <w:rFonts w:ascii="Calibri" w:hAnsi="Calibri"/>
        </w:rPr>
        <w:t>whether any source conflict, missing capability, protected effect, or unverified assumption blocks execution.</w:t>
      </w:r>
    </w:p>
    <w:p>
      <w:pPr>
        <w:widowControl/>
      </w:pPr>
      <w:r>
        <w:rPr>
          <w:rFonts w:ascii="Calibri" w:hAnsi="Calibri"/>
        </w:rPr>
        <w:t>A cached summary may help locate sources but may not replace them. Every completion report must distinguish verified, inferred, assumed, proposed, approved, completed, not authorized, and still blocked work.</w:t>
      </w:r>
    </w:p>
    <w:p>
      <w:pPr>
        <w:pStyle w:val="Heading1"/>
      </w:pPr>
      <w:r>
        <w:t>13. Preservation, rollback, and amendment</w:t>
      </w:r>
    </w:p>
    <w:p>
      <w:pPr>
        <w:widowControl/>
      </w:pPr>
      <w:r>
        <w:rPr>
          <w:rFonts w:ascii="Calibri" w:hAnsi="Calibri"/>
        </w:rPr>
        <w:t>All implementation under this Charter extends canonical history through bounded branches, exact-path changes, independent review, normal non-force publication, and history-preserving rollback. Existing evidence and artifacts remain available as provenance.</w:t>
      </w:r>
    </w:p>
    <w:p>
      <w:pPr>
        <w:widowControl/>
      </w:pPr>
      <w:r>
        <w:rPr>
          <w:rFonts w:ascii="Calibri" w:hAnsi="Calibri"/>
        </w:rPr>
        <w:t>Amendments require:</w:t>
      </w:r>
    </w:p>
    <w:p>
      <w:pPr>
        <w:spacing w:after="80" w:line="300" w:lineRule="auto"/>
        <w:ind w:left="490" w:hanging="360"/>
      </w:pPr>
      <w:r>
        <w:rPr>
          <w:rFonts w:ascii="Calibri" w:hAnsi="Calibri"/>
          <w:color w:val="1F4D78"/>
        </w:rPr>
        <w:t xml:space="preserve">•  </w:t>
      </w:r>
      <w:r>
        <w:rPr>
          <w:rFonts w:ascii="Calibri" w:hAnsi="Calibri"/>
        </w:rPr>
        <w:t>an exact proposed revision and digest;</w:t>
      </w:r>
    </w:p>
    <w:p>
      <w:pPr>
        <w:spacing w:after="80" w:line="300" w:lineRule="auto"/>
        <w:ind w:left="490" w:hanging="360"/>
      </w:pPr>
      <w:r>
        <w:rPr>
          <w:rFonts w:ascii="Calibri" w:hAnsi="Calibri"/>
          <w:color w:val="1F4D78"/>
        </w:rPr>
        <w:t xml:space="preserve">•  </w:t>
      </w:r>
      <w:r>
        <w:rPr>
          <w:rFonts w:ascii="Calibri" w:hAnsi="Calibri"/>
        </w:rPr>
        <w:t>the affected phases, capabilities, policies, registries, workers, and tests;</w:t>
      </w:r>
    </w:p>
    <w:p>
      <w:pPr>
        <w:spacing w:after="80" w:line="300" w:lineRule="auto"/>
        <w:ind w:left="490" w:hanging="360"/>
      </w:pPr>
      <w:r>
        <w:rPr>
          <w:rFonts w:ascii="Calibri" w:hAnsi="Calibri"/>
          <w:color w:val="1F4D78"/>
        </w:rPr>
        <w:t xml:space="preserve">•  </w:t>
      </w:r>
      <w:r>
        <w:rPr>
          <w:rFonts w:ascii="Calibri" w:hAnsi="Calibri"/>
        </w:rPr>
        <w:t>conflict analysis against the founding sources;</w:t>
      </w:r>
    </w:p>
    <w:p>
      <w:pPr>
        <w:spacing w:after="80" w:line="300" w:lineRule="auto"/>
        <w:ind w:left="490" w:hanging="360"/>
      </w:pPr>
      <w:r>
        <w:rPr>
          <w:rFonts w:ascii="Calibri" w:hAnsi="Calibri"/>
          <w:color w:val="1F4D78"/>
        </w:rPr>
        <w:t xml:space="preserve">•  </w:t>
      </w:r>
      <w:r>
        <w:rPr>
          <w:rFonts w:ascii="Calibri" w:hAnsi="Calibri"/>
        </w:rPr>
        <w:t>security, privacy, cost, portability, rollback, and removal review;</w:t>
      </w:r>
    </w:p>
    <w:p>
      <w:pPr>
        <w:spacing w:after="80" w:line="300" w:lineRule="auto"/>
        <w:ind w:left="490" w:hanging="360"/>
      </w:pPr>
      <w:r>
        <w:rPr>
          <w:rFonts w:ascii="Calibri" w:hAnsi="Calibri"/>
          <w:color w:val="1F4D78"/>
        </w:rPr>
        <w:t xml:space="preserve">•  </w:t>
      </w:r>
      <w:r>
        <w:rPr>
          <w:rFonts w:ascii="Calibri" w:hAnsi="Calibri"/>
        </w:rPr>
        <w:t>Founder approval; and</w:t>
      </w:r>
    </w:p>
    <w:p>
      <w:pPr>
        <w:spacing w:after="80" w:line="300" w:lineRule="auto"/>
        <w:ind w:left="490" w:hanging="360"/>
      </w:pPr>
      <w:r>
        <w:rPr>
          <w:rFonts w:ascii="Calibri" w:hAnsi="Calibri"/>
          <w:color w:val="1F4D78"/>
        </w:rPr>
        <w:t xml:space="preserve">•  </w:t>
      </w:r>
      <w:r>
        <w:rPr>
          <w:rFonts w:ascii="Calibri" w:hAnsi="Calibri"/>
        </w:rPr>
        <w:t>synchronized Markdown and DOCX copies with verified equality of material content.</w:t>
      </w:r>
    </w:p>
    <w:p>
      <w:pPr>
        <w:widowControl/>
      </w:pPr>
      <w:r>
        <w:rPr>
          <w:rFonts w:ascii="Calibri" w:hAnsi="Calibri"/>
        </w:rPr>
        <w:t>No agent may amend this Charter through memory, conversation summary, generated worker output, or implementation convenience alone.</w:t>
      </w:r>
    </w:p>
    <w:p>
      <w:pPr>
        <w:pStyle w:val="Heading1"/>
      </w:pPr>
      <w:r>
        <w:t>14. Founder decision</w:t>
      </w:r>
    </w:p>
    <w:p>
      <w:pPr>
        <w:spacing w:after="80" w:line="300" w:lineRule="auto"/>
        <w:ind w:left="490" w:hanging="360"/>
      </w:pPr>
      <w:r>
        <w:t>☒  Approved as canonical Phase 2-3 companion charter</w:t>
      </w:r>
    </w:p>
    <w:p>
      <w:pPr>
        <w:spacing w:after="80" w:line="300" w:lineRule="auto"/>
        <w:ind w:left="490" w:hanging="360"/>
      </w:pPr>
      <w:r>
        <w:rPr>
          <w:rFonts w:ascii="Calibri" w:hAnsi="Calibri"/>
          <w:color w:val="1F4D78"/>
        </w:rPr>
        <w:t xml:space="preserve">☐  </w:t>
      </w:r>
      <w:r>
        <w:rPr>
          <w:rFonts w:ascii="Calibri" w:hAnsi="Calibri"/>
        </w:rPr>
        <w:t>Approved with amendments</w:t>
      </w:r>
    </w:p>
    <w:p>
      <w:pPr>
        <w:spacing w:after="80" w:line="300" w:lineRule="auto"/>
        <w:ind w:left="490" w:hanging="360"/>
      </w:pPr>
      <w:r>
        <w:rPr>
          <w:rFonts w:ascii="Calibri" w:hAnsi="Calibri"/>
          <w:color w:val="1F4D78"/>
        </w:rPr>
        <w:t xml:space="preserve">☐  </w:t>
      </w:r>
      <w:r>
        <w:rPr>
          <w:rFonts w:ascii="Calibri" w:hAnsi="Calibri"/>
        </w:rPr>
        <w:t>Rejected for revision</w:t>
      </w:r>
    </w:p>
    <w:p>
      <w:pPr>
        <w:widowControl/>
      </w:pPr>
      <w:r>
        <w:t>Founder approval was recorded on 2026-08-08. Until this exact revision is published through the governed repository lifecycle, it remains an approved candidate and grants no new execution authority. Once merged to main, it becomes the canonical Phase 2-3 companion charter without superseding the founding sources or the separately evidence-bound Phase 0 graduation gate.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 w:val="right" w:pos="9360"/>
      </w:tabs>
      <w:spacing w:before="0" w:after="0"/>
    </w:pPr>
    <w:r>
      <w:rPr>
        <w:rFonts w:ascii="Calibri" w:hAnsi="Calibri"/>
        <w:color w:val="5A6775"/>
        <w:sz w:val="17"/>
      </w:rPr>
      <w:t>Phase 2-3 Sovereign Capability Evolution Charter</w:t>
    </w:r>
    <w:r>
      <w:rPr>
        <w:rFonts w:ascii="Calibri" w:hAnsi="Calibri"/>
        <w:color w:val="5A6775"/>
        <w:sz w:val="17"/>
      </w:rPr>
      <w:tab/>
    </w:r>
    <w:r>
      <w:rPr>
        <w:rFonts w:ascii="Calibri" w:hAnsi="Calibri"/>
        <w:color w:val="5A6775"/>
        <w:sz w:val="17"/>
      </w:rPr>
      <w:t xml:space="preserve">Page </w:t>
    </w:r>
    <w:r>
      <w:rPr>
        <w:rFonts w:ascii="Calibri" w:hAnsi="Calibri"/>
        <w:color w:val="5A6775"/>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A6775"/>
        <w:sz w:val="17"/>
      </w:rPr>
      <w:t>STOIC-IRIS  |  GOVERNANCE COMPANION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9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IRISCode">
    <w:name w:val="IRIS Code"/>
    <w:rPr>
      <w:rFonts w:ascii="Consolas" w:hAnsi="Consolas"/>
      <w:color w:val="1F4D7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STOIC-IRIS Phase 2-3 Sovereign Capability Evolution Charter</dc:title>
  <dc:subject>Canonical companion charter for supervised development, worker creation, and continuous evolution</dc:subject>
  <dc:creator>STOIC-IRIS Founder and IRIS Core</dc:creator>
  <cp:keywords>STOIC-IRIS, Phase 2, Phase 3, worker foundry, adapters, sovereign capability</cp:keywords>
  <dc:description>Generated from the synchronized canonical Markdown draft.</dc:description>
  <cp:lastModifiedBy/>
  <cp:revision>1</cp:revision>
  <dcterms:created xsi:type="dcterms:W3CDTF">2013-12-23T23:15:00Z</dcterms:created>
  <dcterms:modified xsi:type="dcterms:W3CDTF">2013-12-23T23:15:00Z</dcterms:modified>
  <cp:category/>
</cp:coreProperties>
</file>