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52"/>
          <w:szCs w:val="52"/>
        </w:rPr>
        <w:t xml:space="preserve">AECB Income Data Submission (IDS)</w:t>
      </w:r>
    </w:p>
    <w:p>
      <w:pPr>
        <w:spacing w:after="80" w:before="0"/>
        <w:jc w:val="center"/>
      </w:pPr>
      <w:r>
        <w:rPr>
          <w:rFonts w:ascii="Arial" w:cs="Arial" w:eastAsia="Arial" w:hAnsi="Arial"/>
          <w:b/>
          <w:bCs/>
          <w:color w:val="2E75B6"/>
          <w:sz w:val="44"/>
          <w:szCs w:val="44"/>
        </w:rPr>
        <w:t xml:space="preserve">Q1 Enhancement</w:t>
      </w:r>
    </w:p>
    <w:p>
      <w:pPr>
        <w:pBdr>
          <w:bottom w:val="single" w:color="2E75B6" w:sz="8" w:space="4"/>
        </w:pBdr>
        <w:spacing w:after="0" w:before="120"/>
        <w:jc w:val="center"/>
      </w:pPr>
      <w:r>
        <w:t xml:space="preserve"/>
      </w:r>
    </w:p>
    <w:p>
      <w:pPr>
        <w:spacing w:after="0" w:before="240"/>
      </w:pPr>
      <w:r>
        <w:t xml:space="preserve"/>
      </w:r>
    </w:p>
    <w:p>
      <w:pPr>
        <w:jc w:val="center"/>
      </w:pPr>
      <w:r>
        <w:rPr>
          <w:rFonts w:ascii="Arial" w:cs="Arial" w:eastAsia="Arial" w:hAnsi="Arial"/>
          <w:color w:val="555555"/>
          <w:sz w:val="28"/>
          <w:szCs w:val="28"/>
        </w:rPr>
        <w:t xml:space="preserve">Conceptual Overview &amp; Technical Implementation</w:t>
      </w:r>
    </w:p>
    <w:p>
      <w:pPr>
        <w:spacing w:after="0" w:before="240"/>
      </w:pPr>
      <w:r>
        <w:t xml:space="preserve"/>
      </w:r>
    </w:p>
    <w:p>
      <w:pPr>
        <w:jc w:val="center"/>
      </w:pPr>
      <w:r>
        <w:rPr>
          <w:rFonts w:ascii="Arial" w:cs="Arial" w:eastAsia="Arial" w:hAnsi="Arial"/>
          <w:color w:val="666666"/>
          <w:sz w:val="22"/>
          <w:szCs w:val="22"/>
        </w:rPr>
        <w:t xml:space="preserve">Commercial Bank of Dubai — Information Technology Department</w:t>
      </w:r>
    </w:p>
    <w:p>
      <w:pPr>
        <w:jc w:val="center"/>
      </w:pPr>
      <w:r>
        <w:rPr>
          <w:rFonts w:ascii="Arial" w:cs="Arial" w:eastAsia="Arial" w:hAnsi="Arial"/>
          <w:color w:val="666666"/>
          <w:sz w:val="22"/>
          <w:szCs w:val="22"/>
        </w:rPr>
        <w:t xml:space="preserve">Prepared: June 2026</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Section 1: Theoretical Introduction</w:t>
      </w:r>
    </w:p>
    <w:p>
      <w:pPr>
        <w:spacing w:after="0" w:before="60"/>
      </w:pPr>
      <w:r>
        <w:t xml:space="preserve"/>
      </w:r>
    </w:p>
    <w:p>
      <w:pPr>
        <w:pStyle w:val="Heading2"/>
        <w:spacing w:after="100" w:before="280"/>
      </w:pPr>
      <w:r>
        <w:rPr>
          <w:rFonts w:ascii="Arial" w:cs="Arial" w:eastAsia="Arial" w:hAnsi="Arial"/>
          <w:b/>
          <w:bCs/>
          <w:color w:val="2E75B6"/>
          <w:sz w:val="26"/>
          <w:szCs w:val="26"/>
        </w:rPr>
        <w:t xml:space="preserve">1.1  Background and Purpose</w:t>
      </w:r>
    </w:p>
    <w:p>
      <w:pPr>
        <w:spacing w:after="80" w:before="60"/>
      </w:pPr>
      <w:r>
        <w:rPr>
          <w:rFonts w:ascii="Arial" w:cs="Arial" w:eastAsia="Arial" w:hAnsi="Arial"/>
          <w:b w:val="false"/>
          <w:bCs w:val="false"/>
          <w:color w:val="000000"/>
          <w:sz w:val="22"/>
          <w:szCs w:val="22"/>
        </w:rPr>
        <w:t xml:space="preserve">The Al Etihad Credit Bureau (AECB) is the UAE's official credit information agency, responsible for collecting and aggregating financial data submitted by licensed financial institutions. One of the key data streams it manages is the Income Data Submission (IDS), which captures salary credit information at the account level. This data feeds into credit reports and is used to assess an individual's financial profile, creditworthiness, and employment status.</w:t>
      </w:r>
    </w:p>
    <w:p>
      <w:pPr>
        <w:spacing w:after="80" w:before="60"/>
      </w:pPr>
      <w:r>
        <w:rPr>
          <w:rFonts w:ascii="Arial" w:cs="Arial" w:eastAsia="Arial" w:hAnsi="Arial"/>
          <w:b w:val="false"/>
          <w:bCs w:val="false"/>
          <w:color w:val="000000"/>
          <w:sz w:val="22"/>
          <w:szCs w:val="22"/>
        </w:rPr>
        <w:t xml:space="preserve">As part of a Q1 2026 enhancement, AECB revised its IDS requirements to address a fundamental limitation in the previous reporting model: salary data was being submitted as a single, consolidated monthly aggregate rather than as discrete individual transactions. This meant that the timing and source of salary credits were obscured, reducing the accuracy and traceability of the data held at the bureau.</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1.2  The Core Problem Being Solved</w:t>
      </w:r>
    </w:p>
    <w:p>
      <w:pPr>
        <w:spacing w:after="80" w:before="60"/>
      </w:pPr>
      <w:r>
        <w:rPr>
          <w:rFonts w:ascii="Arial" w:cs="Arial" w:eastAsia="Arial" w:hAnsi="Arial"/>
          <w:b w:val="false"/>
          <w:bCs w:val="false"/>
          <w:color w:val="000000"/>
          <w:sz w:val="22"/>
          <w:szCs w:val="22"/>
        </w:rPr>
        <w:t xml:space="preserve">Under the old model, if a customer received two salary payments in a single month — say on the 20th and the 25th — those two amounts would be combined into one figure and submitted at month-end. This aggregation approach had two key drawbacks:</w:t>
      </w:r>
    </w:p>
    <w:p>
      <w:pPr>
        <w:pStyle w:val="ListParagraph"/>
        <w:numPr>
          <w:ilvl w:val="0"/>
          <w:numId w:val="2"/>
        </w:numPr>
        <w:spacing w:after="40" w:before="40"/>
      </w:pPr>
      <w:r>
        <w:rPr>
          <w:rFonts w:ascii="Arial" w:cs="Arial" w:eastAsia="Arial" w:hAnsi="Arial"/>
          <w:b/>
          <w:bCs/>
          <w:sz w:val="22"/>
          <w:szCs w:val="22"/>
        </w:rPr>
        <w:t xml:space="preserve">Loss of temporal resolution: </w:t>
      </w:r>
      <w:r>
        <w:rPr>
          <w:rFonts w:ascii="Arial" w:cs="Arial" w:eastAsia="Arial" w:hAnsi="Arial"/>
          <w:sz w:val="22"/>
          <w:szCs w:val="22"/>
        </w:rPr>
        <w:t xml:space="preserve">The exact transaction dates were not preserved, making it impossible to determine when within a month income was received.</w:t>
      </w:r>
    </w:p>
    <w:p>
      <w:pPr>
        <w:pStyle w:val="ListParagraph"/>
        <w:numPr>
          <w:ilvl w:val="0"/>
          <w:numId w:val="2"/>
        </w:numPr>
        <w:spacing w:after="40" w:before="40"/>
      </w:pPr>
      <w:r>
        <w:rPr>
          <w:rFonts w:ascii="Arial" w:cs="Arial" w:eastAsia="Arial" w:hAnsi="Arial"/>
          <w:b/>
          <w:bCs/>
          <w:sz w:val="22"/>
          <w:szCs w:val="22"/>
        </w:rPr>
        <w:t xml:space="preserve">Loss of source traceability: </w:t>
      </w:r>
      <w:r>
        <w:rPr>
          <w:rFonts w:ascii="Arial" w:cs="Arial" w:eastAsia="Arial" w:hAnsi="Arial"/>
          <w:sz w:val="22"/>
          <w:szCs w:val="22"/>
        </w:rPr>
        <w:t xml:space="preserve">There was no mechanism to identify who paid the salary (the employer or remitting bank), which limited the bureau's ability to verify employment and income authenticity.</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1.3  What the Enhancement Achieves</w:t>
      </w:r>
    </w:p>
    <w:p>
      <w:pPr>
        <w:spacing w:after="80" w:before="60"/>
      </w:pPr>
      <w:r>
        <w:rPr>
          <w:rFonts w:ascii="Arial" w:cs="Arial" w:eastAsia="Arial" w:hAnsi="Arial"/>
          <w:b w:val="false"/>
          <w:bCs w:val="false"/>
          <w:color w:val="000000"/>
          <w:sz w:val="22"/>
          <w:szCs w:val="22"/>
        </w:rPr>
        <w:t xml:space="preserve">The Q1 update mandates a shift from aggregated monthly reporting to individual transaction-level reporting. Each salary credit must now be submitted as a separate record, tied to its exact date and linked to the employer or remitting entity via new identifier fields. This change serves three broad goals:</w:t>
      </w:r>
    </w:p>
    <w:p>
      <w:pPr>
        <w:pStyle w:val="ListParagraph"/>
        <w:numPr>
          <w:ilvl w:val="0"/>
          <w:numId w:val="2"/>
        </w:numPr>
        <w:spacing w:after="40" w:before="40"/>
      </w:pPr>
      <w:r>
        <w:rPr>
          <w:rFonts w:ascii="Arial" w:cs="Arial" w:eastAsia="Arial" w:hAnsi="Arial"/>
          <w:b/>
          <w:bCs/>
          <w:sz w:val="22"/>
          <w:szCs w:val="22"/>
        </w:rPr>
        <w:t xml:space="preserve">Accuracy: </w:t>
      </w:r>
      <w:r>
        <w:rPr>
          <w:rFonts w:ascii="Arial" w:cs="Arial" w:eastAsia="Arial" w:hAnsi="Arial"/>
          <w:sz w:val="22"/>
          <w:szCs w:val="22"/>
        </w:rPr>
        <w:t xml:space="preserve">Salary amounts reflect actual transactions, not consolidated estimates.</w:t>
      </w:r>
    </w:p>
    <w:p>
      <w:pPr>
        <w:pStyle w:val="ListParagraph"/>
        <w:numPr>
          <w:ilvl w:val="0"/>
          <w:numId w:val="2"/>
        </w:numPr>
        <w:spacing w:after="40" w:before="40"/>
      </w:pPr>
      <w:r>
        <w:rPr>
          <w:rFonts w:ascii="Arial" w:cs="Arial" w:eastAsia="Arial" w:hAnsi="Arial"/>
          <w:b/>
          <w:bCs/>
          <w:sz w:val="22"/>
          <w:szCs w:val="22"/>
        </w:rPr>
        <w:t xml:space="preserve">Transparency: </w:t>
      </w:r>
      <w:r>
        <w:rPr>
          <w:rFonts w:ascii="Arial" w:cs="Arial" w:eastAsia="Arial" w:hAnsi="Arial"/>
          <w:sz w:val="22"/>
          <w:szCs w:val="22"/>
        </w:rPr>
        <w:t xml:space="preserve">Employer and remitter identity is now explicitly captured.</w:t>
      </w:r>
    </w:p>
    <w:p>
      <w:pPr>
        <w:pStyle w:val="ListParagraph"/>
        <w:numPr>
          <w:ilvl w:val="0"/>
          <w:numId w:val="2"/>
        </w:numPr>
        <w:spacing w:after="40" w:before="40"/>
      </w:pPr>
      <w:r>
        <w:rPr>
          <w:rFonts w:ascii="Arial" w:cs="Arial" w:eastAsia="Arial" w:hAnsi="Arial"/>
          <w:b/>
          <w:bCs/>
          <w:sz w:val="22"/>
          <w:szCs w:val="22"/>
        </w:rPr>
        <w:t xml:space="preserve">Integrity: </w:t>
      </w:r>
      <w:r>
        <w:rPr>
          <w:rFonts w:ascii="Arial" w:cs="Arial" w:eastAsia="Arial" w:hAnsi="Arial"/>
          <w:sz w:val="22"/>
          <w:szCs w:val="22"/>
        </w:rPr>
        <w:t xml:space="preserve">Prevents misrepresentation of salary timing or amount at the bureau level.</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1.4  Regulatory and Operational Context</w:t>
      </w:r>
    </w:p>
    <w:p>
      <w:pPr>
        <w:spacing w:after="80" w:before="60"/>
      </w:pPr>
      <w:r>
        <w:rPr>
          <w:rFonts w:ascii="Arial" w:cs="Arial" w:eastAsia="Arial" w:hAnsi="Arial"/>
          <w:b w:val="false"/>
          <w:bCs w:val="false"/>
          <w:color w:val="000000"/>
          <w:sz w:val="22"/>
          <w:szCs w:val="22"/>
        </w:rPr>
        <w:t xml:space="preserve">Financial institutions operating in the UAE — including commercial banks — are obligated to align their internal data pipelines and ETL (Extract, Transform, Load) systems with these updated bureau requirements. The Commercial Bank of Dubai (CBD) has developed a specific implementation plan (ITD-TEM-021) to migrate its existing BODS-based ETL jobs to conform to the new IDS schema. This is not a cosmetic change — it requires structural modifications to staging tables, dataflow logic, XML output files, and query conditions across multiple interconnected components.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Section 2: Technical Aspects</w:t>
      </w:r>
    </w:p>
    <w:p>
      <w:pPr>
        <w:spacing w:after="0" w:before="60"/>
      </w:pPr>
      <w:r>
        <w:t xml:space="preserve"/>
      </w:r>
    </w:p>
    <w:p>
      <w:pPr>
        <w:pStyle w:val="Heading2"/>
        <w:spacing w:after="100" w:before="280"/>
      </w:pPr>
      <w:r>
        <w:rPr>
          <w:rFonts w:ascii="Arial" w:cs="Arial" w:eastAsia="Arial" w:hAnsi="Arial"/>
          <w:b/>
          <w:bCs/>
          <w:color w:val="2E75B6"/>
          <w:sz w:val="26"/>
          <w:szCs w:val="26"/>
        </w:rPr>
        <w:t xml:space="preserve">2.1  New Fields Introduced to the IDS Schema</w:t>
      </w:r>
    </w:p>
    <w:p>
      <w:pPr>
        <w:spacing w:after="80" w:before="60"/>
      </w:pPr>
      <w:r>
        <w:rPr>
          <w:rFonts w:ascii="Arial" w:cs="Arial" w:eastAsia="Arial" w:hAnsi="Arial"/>
          <w:b w:val="false"/>
          <w:bCs w:val="false"/>
          <w:color w:val="000000"/>
          <w:sz w:val="22"/>
          <w:szCs w:val="22"/>
        </w:rPr>
        <w:t xml:space="preserve">The Q1 enhancement introduces four new fields applicable to Salaried Accounts: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 (XML)</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Internal Column</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WPSEmployerId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WPS_EMP_ID</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Identifier of the employer per the Wages Protection System</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WPSEmployerName</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WPS_EMP_NM</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Name of the employer per WPS / MOHRE records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RemitterIBAN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RMTR_IBAN</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IBAN of the salary remitting account</w:t>
            </w:r>
          </w:p>
        </w:tc>
      </w:tr>
      <w:tr>
        <w:tc>
          <w:tcPr>
            <w:tcW w:type="dxa" w:w="22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SalaryTransferType</w:t>
            </w:r>
          </w:p>
        </w:tc>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SAL_TS_TYPE</w:t>
            </w:r>
          </w:p>
        </w:tc>
        <w:tc>
          <w:tcPr>
            <w:tcW w:type="dxa" w:w="51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Hardcoded as 'D' (Domestic) for all submissions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2.2  Submission Rules and Field Hierarchy</w:t>
      </w:r>
    </w:p>
    <w:p>
      <w:pPr>
        <w:spacing w:after="80" w:before="60"/>
      </w:pPr>
      <w:r>
        <w:rPr>
          <w:rFonts w:ascii="Arial" w:cs="Arial" w:eastAsia="Arial" w:hAnsi="Arial"/>
          <w:b w:val="false"/>
          <w:bCs w:val="false"/>
          <w:color w:val="000000"/>
          <w:sz w:val="22"/>
          <w:szCs w:val="22"/>
        </w:rPr>
        <w:t xml:space="preserve">The submission logic for the new employer/remitter fields follows a conditional priority:</w:t>
      </w:r>
    </w:p>
    <w:p>
      <w:pPr>
        <w:pStyle w:val="ListParagraph"/>
        <w:numPr>
          <w:ilvl w:val="0"/>
          <w:numId w:val="2"/>
        </w:numPr>
        <w:spacing w:after="40" w:before="40"/>
      </w:pPr>
      <w:r>
        <w:rPr>
          <w:rFonts w:ascii="Arial" w:cs="Arial" w:eastAsia="Arial" w:hAnsi="Arial"/>
          <w:b/>
          <w:bCs/>
          <w:sz w:val="22"/>
          <w:szCs w:val="22"/>
        </w:rPr>
        <w:t xml:space="preserve">If RemitterIBAN is available: </w:t>
      </w:r>
      <w:r>
        <w:rPr>
          <w:rFonts w:ascii="Arial" w:cs="Arial" w:eastAsia="Arial" w:hAnsi="Arial"/>
          <w:sz w:val="22"/>
          <w:szCs w:val="22"/>
        </w:rPr>
        <w:t xml:space="preserve">submit it; WPSEmployerId and WPSEmployerName may be omitted.</w:t>
      </w:r>
    </w:p>
    <w:p>
      <w:pPr>
        <w:pStyle w:val="ListParagraph"/>
        <w:numPr>
          <w:ilvl w:val="0"/>
          <w:numId w:val="2"/>
        </w:numPr>
        <w:spacing w:after="40" w:before="40"/>
      </w:pPr>
      <w:r>
        <w:rPr>
          <w:rFonts w:ascii="Arial" w:cs="Arial" w:eastAsia="Arial" w:hAnsi="Arial"/>
          <w:b/>
          <w:bCs/>
          <w:sz w:val="22"/>
          <w:szCs w:val="22"/>
        </w:rPr>
        <w:t xml:space="preserve">If RemitterIBAN is not available: </w:t>
      </w:r>
      <w:r>
        <w:rPr>
          <w:rFonts w:ascii="Arial" w:cs="Arial" w:eastAsia="Arial" w:hAnsi="Arial"/>
          <w:sz w:val="22"/>
          <w:szCs w:val="22"/>
        </w:rPr>
        <w:t xml:space="preserve">submit WPSEmployerId and WPSEmployerName instead.</w:t>
      </w:r>
    </w:p>
    <w:p>
      <w:pPr>
        <w:pStyle w:val="ListParagraph"/>
        <w:numPr>
          <w:ilvl w:val="0"/>
          <w:numId w:val="2"/>
        </w:numPr>
        <w:spacing w:after="40" w:before="40"/>
      </w:pPr>
      <w:r>
        <w:rPr>
          <w:rFonts w:ascii="Arial" w:cs="Arial" w:eastAsia="Arial" w:hAnsi="Arial"/>
          <w:b/>
          <w:bCs/>
          <w:sz w:val="22"/>
          <w:szCs w:val="22"/>
        </w:rPr>
        <w:t xml:space="preserve">SalaryTransferType: </w:t>
      </w:r>
      <w:r>
        <w:rPr>
          <w:rFonts w:ascii="Arial" w:cs="Arial" w:eastAsia="Arial" w:hAnsi="Arial"/>
          <w:sz w:val="22"/>
          <w:szCs w:val="22"/>
        </w:rPr>
        <w:t xml:space="preserve">is always hardcoded as 'D' (Domestic) and is not conditional.</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2.3  Change to Salary Amount (SAL_CR_AMT) Reporting Logic</w:t>
      </w:r>
    </w:p>
    <w:p>
      <w:pPr>
        <w:spacing w:after="80" w:before="60"/>
      </w:pPr>
      <w:r>
        <w:rPr>
          <w:rFonts w:ascii="Arial" w:cs="Arial" w:eastAsia="Arial" w:hAnsi="Arial"/>
          <w:b w:val="false"/>
          <w:bCs w:val="false"/>
          <w:color w:val="000000"/>
          <w:sz w:val="22"/>
          <w:szCs w:val="22"/>
        </w:rPr>
        <w:t xml:space="preserve">This is the most significant logic change in the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Before (Old Logic)</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After (New Logic)</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20"/>
                <w:szCs w:val="20"/>
              </w:rPr>
              <w:t xml:space="preserve">Aggregation</w:t>
            </w:r>
          </w:p>
        </w:tc>
        <w:tc>
          <w:tcPr>
            <w:tcW w:type="dxa" w:w="37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SAL_CR_AMT computed using SUM() across all salary transactions for the current calendar month.</w:t>
            </w:r>
          </w:p>
        </w:tc>
        <w:tc>
          <w:tcPr>
            <w:tcW w:type="dxa" w:w="37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SAL_CR_AMT mapped directly from the individual transaction value — </w:t>
            </w:r>
            <w:r>
              <w:rPr>
                <w:rFonts w:ascii="Arial" w:cs="Arial" w:eastAsia="Arial" w:hAnsi="Arial"/>
                <w:b/>
                <w:bCs/>
                <w:sz w:val="20"/>
                <w:szCs w:val="20"/>
              </w:rPr>
              <w:t xml:space="preserve">no aggregation</w:t>
            </w:r>
            <w:r>
              <w:rPr>
                <w:rFonts w:ascii="Arial" w:cs="Arial" w:eastAsia="Arial" w:hAnsi="Arial"/>
                <w:b w:val="false"/>
                <w:bCs w:val="false"/>
                <w:sz w:val="20"/>
                <w:szCs w:val="20"/>
              </w:rPr>
              <w:t xml:space="preserve">.</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bCs/>
                <w:sz w:val="20"/>
                <w:szCs w:val="20"/>
              </w:rPr>
              <w:t xml:space="preserve">Submission Frequency</w:t>
            </w:r>
          </w:p>
        </w:tc>
        <w:tc>
          <w:tcPr>
            <w:tcW w:type="dxa" w:w="37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One record submitted per account per month.</w:t>
            </w:r>
          </w:p>
        </w:tc>
        <w:tc>
          <w:tcPr>
            <w:tcW w:type="dxa" w:w="37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One record submitted per transaction date per salary event.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bCs/>
                <w:sz w:val="20"/>
                <w:szCs w:val="20"/>
              </w:rPr>
              <w:t xml:space="preserve">WHERE Condition</w:t>
            </w:r>
          </w:p>
        </w:tc>
        <w:tc>
          <w:tcPr>
            <w:tcW w:type="dxa" w:w="37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Filter from month-start.</w:t>
            </w:r>
          </w:p>
        </w:tc>
        <w:tc>
          <w:tcPr>
            <w:tcW w:type="dxa" w:w="37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Strict reference date match (DDMMYYYY).</w:t>
            </w:r>
          </w:p>
        </w:tc>
      </w:tr>
      <w:tr>
        <w:tc>
          <w:tcPr>
            <w:tcW w:type="dxa" w:w="18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bCs/>
                <w:sz w:val="20"/>
                <w:szCs w:val="20"/>
              </w:rPr>
              <w:t xml:space="preserve">Removed Field</w:t>
            </w:r>
          </w:p>
        </w:tc>
        <w:tc>
          <w:tcPr>
            <w:tcW w:type="dxa" w:w="37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ACC_NB_MAX_SAL_CURR_MONTH used in aggregation logic.</w:t>
            </w:r>
          </w:p>
        </w:tc>
        <w:tc>
          <w:tcPr>
            <w:tcW w:type="dxa" w:w="37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Field removed entirely — incompatible with transaction-level model.</w:t>
            </w:r>
          </w:p>
        </w:tc>
      </w:tr>
    </w:tbl>
    <w:p>
      <w:pPr>
        <w:spacing w:after="0" w:before="120"/>
      </w:pPr>
      <w:r>
        <w:t xml:space="preserve"/>
      </w:r>
    </w:p>
    <w:p>
      <w:pPr>
        <w:spacing w:after="80" w:before="60"/>
      </w:pPr>
      <w:r>
        <w:rPr>
          <w:rFonts w:ascii="Arial" w:cs="Arial" w:eastAsia="Arial" w:hAnsi="Arial"/>
          <w:b w:val="false"/>
          <w:bCs w:val="false"/>
          <w:color w:val="000000"/>
          <w:sz w:val="22"/>
          <w:szCs w:val="22"/>
        </w:rPr>
        <w:t xml:space="preserve">Impact of this change:</w:t>
      </w:r>
    </w:p>
    <w:p>
      <w:pPr>
        <w:pStyle w:val="ListParagraph"/>
        <w:numPr>
          <w:ilvl w:val="0"/>
          <w:numId w:val="2"/>
        </w:numPr>
        <w:spacing w:after="40" w:before="40"/>
      </w:pPr>
      <w:r>
        <w:rPr>
          <w:rFonts w:ascii="Arial" w:cs="Arial" w:eastAsia="Arial" w:hAnsi="Arial"/>
          <w:sz w:val="22"/>
          <w:szCs w:val="22"/>
        </w:rPr>
        <w:t xml:space="preserve">Eliminates the risk of understating salary credits already accepted by the bureau.</w:t>
      </w:r>
    </w:p>
    <w:p>
      <w:pPr>
        <w:pStyle w:val="ListParagraph"/>
        <w:numPr>
          <w:ilvl w:val="0"/>
          <w:numId w:val="2"/>
        </w:numPr>
        <w:spacing w:after="40" w:before="40"/>
      </w:pPr>
      <w:r>
        <w:rPr>
          <w:rFonts w:ascii="Arial" w:cs="Arial" w:eastAsia="Arial" w:hAnsi="Arial"/>
          <w:sz w:val="22"/>
          <w:szCs w:val="22"/>
        </w:rPr>
        <w:t xml:space="preserve">Improves data granularity and submission integrity.</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2.4  Database Schema Changes</w:t>
      </w:r>
    </w:p>
    <w:p>
      <w:pPr>
        <w:spacing w:after="80" w:before="60"/>
      </w:pPr>
      <w:r>
        <w:rPr>
          <w:rFonts w:ascii="Arial" w:cs="Arial" w:eastAsia="Arial" w:hAnsi="Arial"/>
          <w:b w:val="false"/>
          <w:bCs w:val="false"/>
          <w:color w:val="000000"/>
          <w:sz w:val="22"/>
          <w:szCs w:val="22"/>
        </w:rPr>
        <w:t xml:space="preserve">New columns have been added to the following staging tables in RDH_STAGE_1: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 Name</w:t>
            </w:r>
          </w:p>
        </w:tc>
        <w:tc>
          <w:tcPr>
            <w:tcW w:type="dxa" w:w="4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Columns Added</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TBL_HLD_AECB_DP_CNTRT_DTL</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RMTR_IBAN, WPS_EMP_ID, WPS_EMP_NM, SAL_TS_TYPE</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C0392B"/>
                <w:sz w:val="18"/>
                <w:szCs w:val="18"/>
              </w:rPr>
              <w:t xml:space="preserve">TBL_HLD_UPD_AECB_DP_CNTRT_DTL</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C0392B"/>
                <w:sz w:val="18"/>
                <w:szCs w:val="18"/>
              </w:rPr>
              <w:t xml:space="preserve">RMTR_IBAN, WPS_EMP_ID, WPS_EMP_NM, SAL_TS_TYPE</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AECB_DP_CNTRT_DTL</w:t>
            </w:r>
          </w:p>
        </w:tc>
        <w:tc>
          <w:tcPr>
            <w:tcW w:type="dxa" w:w="4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RMTR_IBAN, WPS_EMP_ID, WPS_EMP_NM, SAL_TS_TYPE</w:t>
            </w:r>
          </w:p>
        </w:tc>
      </w:tr>
      <w:tr>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C0392B"/>
                <w:sz w:val="18"/>
                <w:szCs w:val="18"/>
              </w:rPr>
              <w:t xml:space="preserve">AECB_DP_CNTRT_DTL_EOM</w:t>
            </w:r>
          </w:p>
        </w:tc>
        <w:tc>
          <w:tcPr>
            <w:tcW w:type="dxa" w:w="468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C0392B"/>
                <w:sz w:val="18"/>
                <w:szCs w:val="18"/>
              </w:rPr>
              <w:t xml:space="preserve">RMTR_IBAN, WPS_EMP_ID, WPS_EMP_NM, SAL_TS_TYPE</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2.5  ETL Pipeline Changes (BODS Dataflows and Jobs)</w:t>
      </w:r>
    </w:p>
    <w:p>
      <w:pPr>
        <w:spacing w:after="80" w:before="60"/>
      </w:pPr>
      <w:r>
        <w:rPr>
          <w:rFonts w:ascii="Arial" w:cs="Arial" w:eastAsia="Arial" w:hAnsi="Arial"/>
          <w:b w:val="false"/>
          <w:bCs w:val="false"/>
          <w:color w:val="000000"/>
          <w:sz w:val="22"/>
          <w:szCs w:val="22"/>
        </w:rPr>
        <w:t xml:space="preserve">A new source table CHANNEL_T.MSAL_TBL_FILE_DTLS has been joined into the primary dataflow DF_EDW_AECB_DP_CONTRACTS_FILE_HIST_DLY within the job JOB_EDW_AECB_DP_CONTRACTS_FILE_HIST, joining on ACCT_NO.</w:t>
      </w:r>
    </w:p>
    <w:p>
      <w:pPr>
        <w:spacing w:after="0" w:before="80"/>
      </w:pPr>
      <w:r>
        <w:t xml:space="preserve"/>
      </w:r>
    </w:p>
    <w:p>
      <w:pPr>
        <w:pStyle w:val="Heading3"/>
        <w:spacing w:after="80" w:before="200"/>
      </w:pPr>
      <w:r>
        <w:rPr>
          <w:rFonts w:ascii="Arial" w:cs="Arial" w:eastAsia="Arial" w:hAnsi="Arial"/>
          <w:b/>
          <w:bCs/>
          <w:color w:val="444444"/>
          <w:sz w:val="24"/>
          <w:szCs w:val="24"/>
        </w:rPr>
        <w:t xml:space="preserve">2.5.1  Field Mapping Specifications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Column</w:t>
            </w:r>
          </w:p>
        </w:tc>
        <w:tc>
          <w:tcPr>
            <w:tcW w:type="dxa" w:w="7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 Mapping Logic</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RMTR_IBAN</w:t>
            </w:r>
          </w:p>
        </w:tc>
        <w:tc>
          <w:tcPr>
            <w:tcW w:type="dxa" w:w="7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Blank — not populated at this stage.</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C0392B"/>
                <w:sz w:val="18"/>
                <w:szCs w:val="18"/>
              </w:rPr>
              <w:t xml:space="preserve">WPS_EMP_ID</w:t>
            </w:r>
          </w:p>
        </w:tc>
        <w:tc>
          <w:tcPr>
            <w:tcW w:type="dxa" w:w="7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C0392B"/>
                <w:sz w:val="18"/>
                <w:szCs w:val="18"/>
              </w:rPr>
              <w:t xml:space="preserve">CHANNEL_T.MSAL_TBL_FILE_DTLS.EMP_NM</w:t>
            </w:r>
            <w:r>
              <w:rPr>
                <w:rFonts w:ascii="Arial" w:cs="Arial" w:eastAsia="Arial" w:hAnsi="Arial"/>
                <w:b w:val="false"/>
                <w:bCs w:val="false"/>
                <w:sz w:val="20"/>
                <w:szCs w:val="20"/>
              </w:rPr>
              <w:t xml:space="preserve"> — split on </w:t>
            </w:r>
            <w:r>
              <w:rPr>
                <w:rFonts w:ascii="Courier New" w:cs="Courier New" w:eastAsia="Courier New" w:hAnsi="Courier New"/>
                <w:color w:val="C0392B"/>
                <w:sz w:val="18"/>
                <w:szCs w:val="18"/>
              </w:rPr>
              <w:t xml:space="preserve">'-'</w:t>
            </w:r>
            <w:r>
              <w:rPr>
                <w:rFonts w:ascii="Arial" w:cs="Arial" w:eastAsia="Arial" w:hAnsi="Arial"/>
                <w:b w:val="false"/>
                <w:bCs w:val="false"/>
                <w:sz w:val="20"/>
                <w:szCs w:val="20"/>
              </w:rPr>
              <w:t xml:space="preserve">, </w:t>
            </w:r>
            <w:r>
              <w:rPr>
                <w:rFonts w:ascii="Arial" w:cs="Arial" w:eastAsia="Arial" w:hAnsi="Arial"/>
                <w:b/>
                <w:bCs/>
                <w:sz w:val="20"/>
                <w:szCs w:val="20"/>
              </w:rPr>
              <w:t xml:space="preserve">first part</w:t>
            </w:r>
            <w:r>
              <w:rPr>
                <w:rFonts w:ascii="Arial" w:cs="Arial" w:eastAsia="Arial" w:hAnsi="Arial"/>
                <w:b w:val="false"/>
                <w:bCs w:val="false"/>
                <w:sz w:val="20"/>
                <w:szCs w:val="20"/>
              </w:rPr>
              <w:t xml:space="preserv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WPS_EMP_NM</w:t>
            </w:r>
          </w:p>
        </w:tc>
        <w:tc>
          <w:tcPr>
            <w:tcW w:type="dxa" w:w="7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C0392B"/>
                <w:sz w:val="18"/>
                <w:szCs w:val="18"/>
              </w:rPr>
              <w:t xml:space="preserve">CHANNEL_T.MSAL_TBL_FILE_DTLS.EMP_NM</w:t>
            </w:r>
            <w:r>
              <w:rPr>
                <w:rFonts w:ascii="Arial" w:cs="Arial" w:eastAsia="Arial" w:hAnsi="Arial"/>
                <w:b w:val="false"/>
                <w:bCs w:val="false"/>
                <w:sz w:val="20"/>
                <w:szCs w:val="20"/>
              </w:rPr>
              <w:t xml:space="preserve"> — split on </w:t>
            </w:r>
            <w:r>
              <w:rPr>
                <w:rFonts w:ascii="Courier New" w:cs="Courier New" w:eastAsia="Courier New" w:hAnsi="Courier New"/>
                <w:color w:val="C0392B"/>
                <w:sz w:val="18"/>
                <w:szCs w:val="18"/>
              </w:rPr>
              <w:t xml:space="preserve">'-'</w:t>
            </w:r>
            <w:r>
              <w:rPr>
                <w:rFonts w:ascii="Arial" w:cs="Arial" w:eastAsia="Arial" w:hAnsi="Arial"/>
                <w:b w:val="false"/>
                <w:bCs w:val="false"/>
                <w:sz w:val="20"/>
                <w:szCs w:val="20"/>
              </w:rPr>
              <w:t xml:space="preserve">, </w:t>
            </w:r>
            <w:r>
              <w:rPr>
                <w:rFonts w:ascii="Arial" w:cs="Arial" w:eastAsia="Arial" w:hAnsi="Arial"/>
                <w:b/>
                <w:bCs/>
                <w:sz w:val="20"/>
                <w:szCs w:val="20"/>
              </w:rPr>
              <w:t xml:space="preserve">second part</w:t>
            </w:r>
            <w:r>
              <w:rPr>
                <w:rFonts w:ascii="Arial" w:cs="Arial" w:eastAsia="Arial" w:hAnsi="Arial"/>
                <w:b w:val="false"/>
                <w:bCs w:val="false"/>
                <w:sz w:val="20"/>
                <w:szCs w:val="20"/>
              </w:rPr>
              <w:t xml:space="preserve">; if absent, default to </w:t>
            </w:r>
            <w:r>
              <w:rPr>
                <w:rFonts w:ascii="Courier New" w:cs="Courier New" w:eastAsia="Courier New" w:hAnsi="Courier New"/>
                <w:color w:val="C0392B"/>
                <w:sz w:val="18"/>
                <w:szCs w:val="18"/>
              </w:rPr>
              <w:t xml:space="preserve">"Employer name not in WPS file"</w:t>
            </w:r>
            <w:r>
              <w:rPr>
                <w:rFonts w:ascii="Arial" w:cs="Arial" w:eastAsia="Arial" w:hAnsi="Arial"/>
                <w:b w:val="false"/>
                <w:bCs w:val="false"/>
                <w:sz w:val="20"/>
                <w:szCs w:val="20"/>
              </w:rPr>
              <w:t xml:space="preserve">.</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Courier New" w:cs="Courier New" w:eastAsia="Courier New" w:hAnsi="Courier New"/>
                <w:color w:val="C0392B"/>
                <w:sz w:val="18"/>
                <w:szCs w:val="18"/>
              </w:rPr>
              <w:t xml:space="preserve">SAL_TS_TYPE</w:t>
            </w:r>
          </w:p>
        </w:tc>
        <w:tc>
          <w:tcPr>
            <w:tcW w:type="dxa" w:w="7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b w:val="false"/>
                <w:bCs w:val="false"/>
                <w:sz w:val="20"/>
                <w:szCs w:val="20"/>
              </w:rPr>
              <w:t xml:space="preserve">Hardcoded as </w:t>
            </w:r>
            <w:r>
              <w:rPr>
                <w:rFonts w:ascii="Courier New" w:cs="Courier New" w:eastAsia="Courier New" w:hAnsi="Courier New"/>
                <w:color w:val="C0392B"/>
                <w:sz w:val="18"/>
                <w:szCs w:val="18"/>
              </w:rPr>
              <w:t xml:space="preserve">'D'</w:t>
            </w:r>
            <w:r>
              <w:rPr>
                <w:rFonts w:ascii="Arial" w:cs="Arial" w:eastAsia="Arial" w:hAnsi="Arial"/>
                <w:b w:val="false"/>
                <w:bCs w:val="false"/>
                <w:sz w:val="20"/>
                <w:szCs w:val="20"/>
              </w:rPr>
              <w:t xml:space="preserve">.</w:t>
            </w:r>
          </w:p>
        </w:tc>
      </w:tr>
    </w:tbl>
    <w:p>
      <w:pPr>
        <w:spacing w:after="0" w:before="120"/>
      </w:pPr>
      <w:r>
        <w:t xml:space="preserve"/>
      </w:r>
    </w:p>
    <w:p>
      <w:pPr>
        <w:pStyle w:val="Heading3"/>
        <w:spacing w:after="80" w:before="200"/>
      </w:pPr>
      <w:r>
        <w:rPr>
          <w:rFonts w:ascii="Arial" w:cs="Arial" w:eastAsia="Arial" w:hAnsi="Arial"/>
          <w:b/>
          <w:bCs/>
          <w:color w:val="444444"/>
          <w:sz w:val="24"/>
          <w:szCs w:val="24"/>
        </w:rPr>
        <w:t xml:space="preserve">2.5.2  Jobs Updated with New Field Mappings</w:t>
      </w:r>
    </w:p>
    <w:p>
      <w:pPr>
        <w:pStyle w:val="ListParagraph"/>
        <w:numPr>
          <w:ilvl w:val="0"/>
          <w:numId w:val="2"/>
        </w:numPr>
        <w:spacing w:after="40" w:before="40"/>
      </w:pPr>
      <w:r>
        <w:rPr>
          <w:rFonts w:ascii="Arial" w:cs="Arial" w:eastAsia="Arial" w:hAnsi="Arial"/>
          <w:sz w:val="22"/>
          <w:szCs w:val="22"/>
        </w:rPr>
        <w:t xml:space="preserve">JOB_EDW_AECB_DP_CONTRACTS_FILE_HIST</w:t>
      </w:r>
    </w:p>
    <w:p>
      <w:pPr>
        <w:pStyle w:val="ListParagraph"/>
        <w:numPr>
          <w:ilvl w:val="0"/>
          <w:numId w:val="2"/>
        </w:numPr>
        <w:spacing w:after="40" w:before="40"/>
      </w:pPr>
      <w:r>
        <w:rPr>
          <w:rFonts w:ascii="Arial" w:cs="Arial" w:eastAsia="Arial" w:hAnsi="Arial"/>
          <w:sz w:val="22"/>
          <w:szCs w:val="22"/>
        </w:rPr>
        <w:t xml:space="preserve">JOB_EDW_AECB_SS_STG2_AECB_DP_CNTRT_DTL_HIST</w:t>
      </w:r>
    </w:p>
    <w:p>
      <w:pPr>
        <w:pStyle w:val="ListParagraph"/>
        <w:numPr>
          <w:ilvl w:val="0"/>
          <w:numId w:val="2"/>
        </w:numPr>
        <w:spacing w:after="40" w:before="40"/>
      </w:pPr>
      <w:r>
        <w:rPr>
          <w:rFonts w:ascii="Arial" w:cs="Arial" w:eastAsia="Arial" w:hAnsi="Arial"/>
          <w:sz w:val="22"/>
          <w:szCs w:val="22"/>
        </w:rPr>
        <w:t xml:space="preserve">JOB_EDW_AECB_DP_XML_FILE_HIST</w:t>
      </w:r>
    </w:p>
    <w:p>
      <w:pPr>
        <w:spacing w:after="0" w:before="80"/>
      </w:pPr>
      <w:r>
        <w:t xml:space="preserve"/>
      </w:r>
    </w:p>
    <w:p>
      <w:pPr>
        <w:spacing w:after="80" w:before="60"/>
      </w:pPr>
      <w:r>
        <w:rPr>
          <w:rFonts w:ascii="Arial" w:cs="Arial" w:eastAsia="Arial" w:hAnsi="Arial"/>
          <w:b w:val="false"/>
          <w:bCs w:val="false"/>
          <w:color w:val="000000"/>
          <w:sz w:val="22"/>
          <w:szCs w:val="22"/>
        </w:rPr>
        <w:t xml:space="preserve">Output: The four new fields (SalaryTransferType, RemitterIBAN, WPSEmployerId, WPSEmployerName) have been added to the output XML file generated for bureau submission.</w:t>
      </w:r>
    </w:p>
    <w:p>
      <w:pPr>
        <w:spacing w:after="0" w:before="80"/>
      </w:pPr>
      <w:r>
        <w:t xml:space="preserve"/>
      </w:r>
    </w:p>
    <w:p>
      <w:r>
        <w:br w:type="page"/>
      </w:r>
    </w:p>
    <w:p>
      <w:pPr>
        <w:pStyle w:val="Heading2"/>
        <w:spacing w:after="100" w:before="280"/>
      </w:pPr>
      <w:r>
        <w:rPr>
          <w:rFonts w:ascii="Arial" w:cs="Arial" w:eastAsia="Arial" w:hAnsi="Arial"/>
          <w:b/>
          <w:bCs/>
          <w:color w:val="2E75B6"/>
          <w:sz w:val="26"/>
          <w:szCs w:val="26"/>
        </w:rPr>
        <w:t xml:space="preserve">2.6  Scenario-Based Reporting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Reporting Rule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Multiple salaries in same month</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Submit separate records per transaction date, each with its own reference date (DDMMYYYY) and amount. E.g. 20th (10K) and 25th (5K) = two distinct records.</w:t>
            </w:r>
          </w:p>
        </w:tc>
      </w:tr>
      <w:tr>
        <w:tc>
          <w:tcPr>
            <w:tcW w:type="dxa" w:w="3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Joint accounts (e.g., spouses)</w:t>
            </w:r>
          </w:p>
        </w:tc>
        <w:tc>
          <w:tcPr>
            <w:tcW w:type="dxa" w:w="6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Submit two separate records, one per salary, each linked to its respective employer details.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Two salaries, same day, same employer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Combine the amounts into a single record for that date.</w:t>
            </w:r>
          </w:p>
        </w:tc>
      </w:tr>
      <w:tr>
        <w:tc>
          <w:tcPr>
            <w:tcW w:type="dxa" w:w="3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Two salaries, same day, different employers</w:t>
            </w:r>
          </w:p>
        </w:tc>
        <w:tc>
          <w:tcPr>
            <w:tcW w:type="dxa" w:w="6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Submit two separate records, one per employer.</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Internal salary transfers (same bank)</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Select one specific bank-owned IBAN linked to the bank as a subject. Submit it once to the bureau to establish linkage. Reuse the same IBAN consistently as RemitterIBAN for all internal salary transactions.</w:t>
            </w:r>
          </w:p>
        </w:tc>
      </w:tr>
      <w:tr>
        <w:tc>
          <w:tcPr>
            <w:tcW w:type="dxa" w:w="3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Zero salary months</w:t>
            </w:r>
          </w:p>
        </w:tc>
        <w:tc>
          <w:tcPr>
            <w:tcW w:type="dxa" w:w="6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Report SalaryCreditedAmount = 0 at month-end. Do not submit SalaryTransferType, RemitterIBAN, or WPS fields. After three consecutive zero-salary months: set IsSalariedAccount = 0.</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Missing / blank WPS establishment name</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Populate WPSEmployerName with: "Employer name not in WPS file". Update to the actual name as soon as it becomes available from WPS or MOHRE sources.</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2.7  Installation and Deployment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Environment</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Production — CBD-HQ-ETLPRD04</w:t>
            </w:r>
          </w:p>
        </w:tc>
      </w:tr>
      <w:tr>
        <w:tc>
          <w:tcPr>
            <w:tcW w:type="dxa" w:w="3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Deployment Date</w:t>
            </w:r>
          </w:p>
        </w:tc>
        <w:tc>
          <w:tcPr>
            <w:tcW w:type="dxa" w:w="6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26 June 2026, post CAB approval</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Deployment Owner</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Submission Team</w:t>
            </w:r>
          </w:p>
        </w:tc>
      </w:tr>
      <w:tr>
        <w:tc>
          <w:tcPr>
            <w:tcW w:type="dxa" w:w="300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Installation Action</w:t>
            </w:r>
          </w:p>
        </w:tc>
        <w:tc>
          <w:tcPr>
            <w:tcW w:type="dxa" w:w="6360"/>
            <w:tcBorders>
              <w:top w:val="single" w:color="BBBBBB" w:sz="1"/>
              <w:left w:val="single" w:color="BBBBBB" w:sz="1"/>
              <w:bottom w:val="single" w:color="BBBBBB" w:sz="1"/>
              <w:right w:val="single" w:color="BBBBBB" w:sz="1"/>
            </w:tcBorders>
            <w:shd w:fill="F5F5F5" w:val="clear"/>
            <w:tcMar>
              <w:top w:type="dxa" w:w="60"/>
              <w:left w:type="dxa" w:w="120"/>
              <w:bottom w:type="dxa" w:w="60"/>
              <w:right w:type="dxa" w:w="120"/>
            </w:tcMar>
          </w:tcPr>
          <w:p>
            <w:r>
              <w:rPr>
                <w:rFonts w:ascii="Arial" w:cs="Arial" w:eastAsia="Arial" w:hAnsi="Arial"/>
                <w:sz w:val="20"/>
                <w:szCs w:val="20"/>
              </w:rPr>
              <w:t xml:space="preserve">Import updated ATLs into the production ETL repository</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Post-Install Testing</w:t>
            </w:r>
          </w:p>
        </w:tc>
        <w:tc>
          <w:tcPr>
            <w:tcW w:type="dxa" w:w="6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Execute data population verification scripts — EDW Team</w:t>
            </w:r>
          </w:p>
        </w:tc>
      </w:tr>
    </w:tbl>
    <w:p>
      <w:pPr>
        <w:spacing w:after="0" w:before="120"/>
      </w:pPr>
      <w:r>
        <w:t xml:space="preserve"/>
      </w:r>
    </w:p>
    <w:p>
      <w:pPr>
        <w:spacing w:after="80" w:before="60"/>
      </w:pPr>
      <w:r>
        <w:rPr>
          <w:rFonts w:ascii="Arial" w:cs="Arial" w:eastAsia="Arial" w:hAnsi="Arial"/>
          <w:b w:val="false"/>
          <w:bCs w:val="false"/>
          <w:color w:val="000000"/>
          <w:sz w:val="22"/>
          <w:szCs w:val="22"/>
        </w:rPr>
        <w:t xml:space="preserve">Components to be deployed:</w:t>
      </w:r>
    </w:p>
    <w:p>
      <w:pPr>
        <w:pStyle w:val="ListParagraph"/>
        <w:numPr>
          <w:ilvl w:val="0"/>
          <w:numId w:val="2"/>
        </w:numPr>
        <w:spacing w:after="40" w:before="40"/>
      </w:pPr>
      <w:r>
        <w:rPr>
          <w:rFonts w:ascii="Arial" w:cs="Arial" w:eastAsia="Arial" w:hAnsi="Arial"/>
          <w:sz w:val="22"/>
          <w:szCs w:val="22"/>
        </w:rPr>
        <w:t xml:space="preserve">DF_EDW_AECB_DP_CONTRACT_HIST_DLY</w:t>
      </w:r>
    </w:p>
    <w:p>
      <w:pPr>
        <w:pStyle w:val="ListParagraph"/>
        <w:numPr>
          <w:ilvl w:val="0"/>
          <w:numId w:val="2"/>
        </w:numPr>
        <w:spacing w:after="40" w:before="40"/>
      </w:pPr>
      <w:r>
        <w:rPr>
          <w:rFonts w:ascii="Arial" w:cs="Arial" w:eastAsia="Arial" w:hAnsi="Arial"/>
          <w:sz w:val="22"/>
          <w:szCs w:val="22"/>
        </w:rPr>
        <w:t xml:space="preserve">JOB_EDW_AECB_SS_STG2_AECB_DP_CNTRT_DTL_HIST</w:t>
      </w:r>
    </w:p>
    <w:p>
      <w:pPr>
        <w:pStyle w:val="ListParagraph"/>
        <w:numPr>
          <w:ilvl w:val="0"/>
          <w:numId w:val="2"/>
        </w:numPr>
        <w:spacing w:after="40" w:before="40"/>
      </w:pPr>
      <w:r>
        <w:rPr>
          <w:rFonts w:ascii="Arial" w:cs="Arial" w:eastAsia="Arial" w:hAnsi="Arial"/>
          <w:sz w:val="22"/>
          <w:szCs w:val="22"/>
        </w:rPr>
        <w:t xml:space="preserve">JOB_EDW_AECB_DP_XML_FILE_HIST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2.8  Rollback Procedure</w:t>
      </w:r>
    </w:p>
    <w:p>
      <w:pPr>
        <w:pStyle w:val="ListParagraph"/>
        <w:numPr>
          <w:ilvl w:val="0"/>
          <w:numId w:val="2"/>
        </w:numPr>
        <w:spacing w:after="40" w:before="40"/>
      </w:pPr>
      <w:r>
        <w:rPr>
          <w:rFonts w:ascii="Arial" w:cs="Arial" w:eastAsia="Arial" w:hAnsi="Arial"/>
          <w:b/>
          <w:bCs/>
          <w:sz w:val="22"/>
          <w:szCs w:val="22"/>
        </w:rPr>
        <w:t xml:space="preserve">Rollback window: </w:t>
      </w:r>
      <w:r>
        <w:rPr>
          <w:rFonts w:ascii="Arial" w:cs="Arial" w:eastAsia="Arial" w:hAnsi="Arial"/>
          <w:sz w:val="22"/>
          <w:szCs w:val="22"/>
        </w:rPr>
        <w:t xml:space="preserve">10 minutes.</w:t>
      </w:r>
    </w:p>
    <w:p>
      <w:pPr>
        <w:pStyle w:val="ListParagraph"/>
        <w:numPr>
          <w:ilvl w:val="0"/>
          <w:numId w:val="2"/>
        </w:numPr>
        <w:spacing w:after="40" w:before="40"/>
      </w:pPr>
      <w:r>
        <w:rPr>
          <w:rFonts w:ascii="Arial" w:cs="Arial" w:eastAsia="Arial" w:hAnsi="Arial"/>
          <w:b/>
          <w:bCs/>
          <w:sz w:val="22"/>
          <w:szCs w:val="22"/>
        </w:rPr>
        <w:t xml:space="preserve">Action: </w:t>
      </w:r>
      <w:r>
        <w:rPr>
          <w:rFonts w:ascii="Arial" w:cs="Arial" w:eastAsia="Arial" w:hAnsi="Arial"/>
          <w:sz w:val="22"/>
          <w:szCs w:val="22"/>
        </w:rPr>
        <w:t xml:space="preserve">Remove the new ATL codes from the ETL repository.</w:t>
      </w:r>
    </w:p>
    <w:p>
      <w:pPr>
        <w:pStyle w:val="ListParagraph"/>
        <w:numPr>
          <w:ilvl w:val="0"/>
          <w:numId w:val="2"/>
        </w:numPr>
        <w:spacing w:after="40" w:before="40"/>
      </w:pPr>
      <w:r>
        <w:rPr>
          <w:rFonts w:ascii="Arial" w:cs="Arial" w:eastAsia="Arial" w:hAnsi="Arial"/>
          <w:b/>
          <w:bCs/>
          <w:sz w:val="22"/>
          <w:szCs w:val="22"/>
        </w:rPr>
        <w:t xml:space="preserve">Decision authority: </w:t>
      </w:r>
      <w:r>
        <w:rPr>
          <w:rFonts w:ascii="Arial" w:cs="Arial" w:eastAsia="Arial" w:hAnsi="Arial"/>
          <w:sz w:val="22"/>
          <w:szCs w:val="22"/>
        </w:rPr>
        <w:t xml:space="preserve">IT team, based on criticality and impact assessment.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2.9  System Users</w:t>
      </w:r>
    </w:p>
    <w:p>
      <w:pPr>
        <w:spacing w:after="80" w:before="60"/>
      </w:pPr>
      <w:r>
        <w:rPr>
          <w:rFonts w:ascii="Arial" w:cs="Arial" w:eastAsia="Arial" w:hAnsi="Arial"/>
          <w:b w:val="false"/>
          <w:bCs w:val="false"/>
          <w:color w:val="000000"/>
          <w:sz w:val="22"/>
          <w:szCs w:val="22"/>
        </w:rPr>
        <w:t xml:space="preserve">The systems and teams consuming the output of this pipeline are:</w:t>
      </w:r>
    </w:p>
    <w:p>
      <w:pPr>
        <w:pStyle w:val="ListParagraph"/>
        <w:numPr>
          <w:ilvl w:val="0"/>
          <w:numId w:val="2"/>
        </w:numPr>
        <w:spacing w:after="40" w:before="40"/>
      </w:pPr>
      <w:r>
        <w:rPr>
          <w:rFonts w:ascii="Arial" w:cs="Arial" w:eastAsia="Arial" w:hAnsi="Arial"/>
          <w:b/>
          <w:bCs/>
          <w:sz w:val="22"/>
          <w:szCs w:val="22"/>
        </w:rPr>
        <w:t xml:space="preserve">SAS Analytics: </w:t>
      </w:r>
      <w:r>
        <w:rPr>
          <w:rFonts w:ascii="Arial" w:cs="Arial" w:eastAsia="Arial" w:hAnsi="Arial"/>
          <w:sz w:val="22"/>
          <w:szCs w:val="22"/>
        </w:rPr>
        <w:t xml:space="preserve">for internal data analysis and reporting.</w:t>
      </w:r>
    </w:p>
    <w:p>
      <w:pPr>
        <w:pStyle w:val="ListParagraph"/>
        <w:numPr>
          <w:ilvl w:val="0"/>
          <w:numId w:val="2"/>
        </w:numPr>
        <w:spacing w:after="40" w:before="40"/>
      </w:pPr>
      <w:r>
        <w:rPr>
          <w:rFonts w:ascii="Arial" w:cs="Arial" w:eastAsia="Arial" w:hAnsi="Arial"/>
          <w:b/>
          <w:bCs/>
          <w:sz w:val="22"/>
          <w:szCs w:val="22"/>
        </w:rPr>
        <w:t xml:space="preserve">AECB: </w:t>
      </w:r>
      <w:r>
        <w:rPr>
          <w:rFonts w:ascii="Arial" w:cs="Arial" w:eastAsia="Arial" w:hAnsi="Arial"/>
          <w:sz w:val="22"/>
          <w:szCs w:val="22"/>
        </w:rPr>
        <w:t xml:space="preserve">as the regulatory bureau receiving the XML submission files.</w:t>
      </w:r>
    </w:p>
    <w:p>
      <w:pPr>
        <w:spacing w:after="0" w:before="200"/>
      </w:pPr>
      <w:r>
        <w:t xml:space="preserve"/>
      </w:r>
    </w:p>
    <w:p>
      <w:pPr>
        <w:pBdr>
          <w:top w:val="single" w:color="2E75B6" w:sz="6" w:space="4"/>
        </w:pBdr>
        <w:spacing w:after="0" w:before="120"/>
        <w:jc w:val="center"/>
      </w:pPr>
      <w:r>
        <w:rPr>
          <w:rFonts w:ascii="Arial" w:cs="Arial" w:eastAsia="Arial" w:hAnsi="Arial"/>
          <w:color w:val="888888"/>
          <w:sz w:val="18"/>
          <w:szCs w:val="18"/>
        </w:rPr>
        <w:t xml:space="preserve">Commercial Bank of Dubai — ITD  |  AECB IDS Q1 Enhancement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2026-06-29T11:59:41.419Z</dcterms:created>
  <dcterms:modified xsi:type="dcterms:W3CDTF">2026-06-29T11:59:41.419Z</dcterms:modified>
</cp:coreProperties>
</file>

<file path=docProps/custom.xml><?xml version="1.0" encoding="utf-8"?>
<Properties xmlns="http://schemas.openxmlformats.org/officeDocument/2006/custom-properties" xmlns:vt="http://schemas.openxmlformats.org/officeDocument/2006/docPropsVTypes"/>
</file>