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CE0137" w:rsidP="001E5E5E">
      <w:pPr>
        <w:pBdr>
          <w:top w:val="single" w:sz="4" w:space="1" w:color="FF0000"/>
        </w:pBdr>
      </w:pPr>
    </w:p>
    <w:p w:rsidR="003C4282" w:rsidRPr="00C607CB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r w:rsidR="003B69FC">
        <w:rPr>
          <w:rFonts w:ascii="Century Gothic" w:hAnsi="Century Gothic"/>
          <w:noProof/>
          <w:sz w:val="18"/>
          <w:szCs w:val="18"/>
        </w:rPr>
        <w:t>12/21/2013</w:t>
      </w:r>
    </w:p>
    <w:p w:rsidR="003B69FC" w:rsidRPr="00C607CB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Test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Jerina 13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Pula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>12312312312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098 765 123    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noProof/>
        </w:rPr>
        <w:t>test@test.hr</w:t>
      </w:r>
    </w:p>
    <w:p w:rsidR="00BD2A9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="00A45CCB">
        <w:rPr>
          <w:rFonts w:ascii="Century Gothic" w:hAnsi="Century Gothic" w:cs="Tahoma"/>
          <w:b/>
          <w:noProof/>
          <w:sz w:val="18"/>
          <w:szCs w:val="18"/>
          <w:u w:val="single"/>
        </w:rPr>
        <w:t xml:space="preserve">P-001/3 </w:t>
      </w:r>
    </w:p>
    <w:p w:rsidR="00B50D20" w:rsidRPr="00C607CB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Pr="00C607CB" w:rsidR="00BD2A9F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Pr="00C607CB" w:rsidR="00F71C73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Pr="00C607CB" w:rsidR="003C4282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 w:rsidR="003B69FC">
        <w:rPr>
          <w:rFonts w:ascii="Century Gothic" w:hAnsi="Century Gothic" w:cs="Tahoma"/>
          <w:noProof/>
          <w:sz w:val="18"/>
          <w:szCs w:val="18"/>
          <w:lang w:val="hr-HR"/>
        </w:rPr>
        <w:t>dasda</w:t>
      </w: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Pr="00C607CB" w:rsidR="001B6B11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3B69FC">
        <w:rPr>
          <w:rFonts w:ascii="Century Gothic" w:hAnsi="Century Gothic" w:cs="Tahoma"/>
          <w:noProof/>
          <w:sz w:val="18"/>
          <w:szCs w:val="18"/>
          <w:u w:val="single"/>
          <w:lang w:val="hr-HR"/>
        </w:rPr>
        <w:t>123.99</w:t>
      </w:r>
      <w:r w:rsidRPr="00C607CB" w:rsidR="00F45C8E">
        <w:rPr>
          <w:rFonts w:ascii="Century Gothic" w:hAnsi="Century Gothic" w:cs="Tahoma"/>
          <w:sz w:val="18"/>
          <w:szCs w:val="18"/>
          <w:u w:val="single"/>
          <w:lang w:val="hr-HR"/>
        </w:rPr>
        <w:t xml:space="preserve"> kn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A425B3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="003B69FC">
        <w:rPr>
          <w:rFonts w:ascii="Century Gothic" w:hAnsi="Century Gothic" w:cs="Tahoma"/>
          <w:noProof/>
          <w:sz w:val="18"/>
          <w:szCs w:val="18"/>
        </w:rPr>
        <w:t>123.99</w:t>
      </w:r>
      <w:r w:rsidRPr="00C607CB" w:rsidR="00451ACC">
        <w:rPr>
          <w:rFonts w:ascii="Century Gothic" w:hAnsi="Century Gothic" w:cs="Tahoma"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bCs/>
          <w:noProof/>
          <w:sz w:val="18"/>
          <w:szCs w:val="18"/>
          <w:lang w:val="hr-HR"/>
        </w:rPr>
        <w:t>31.00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</w:t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       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="003B69FC">
        <w:rPr>
          <w:rFonts w:ascii="Century Gothic" w:hAnsi="Century Gothic" w:cs="Tahoma"/>
          <w:b/>
          <w:bCs/>
          <w:noProof/>
          <w:sz w:val="18"/>
          <w:szCs w:val="18"/>
          <w:highlight w:val="yellow"/>
          <w:lang w:val="hr-HR"/>
        </w:rPr>
        <w:t>154.99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Pr="00C607CB" w:rsidR="00F71C73">
        <w:rPr>
          <w:rFonts w:ascii="Century Gothic" w:hAnsi="Century Gothic" w:cs="Tahoma"/>
          <w:bCs/>
          <w:sz w:val="18"/>
          <w:szCs w:val="18"/>
        </w:rPr>
        <w:t>prihvaćanja ove ponude</w:t>
      </w:r>
      <w:r w:rsidRPr="00C607CB" w:rsidR="001B6B11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Pr="00C607CB" w:rsidR="009F0904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Pr="00C607CB" w:rsidR="00AE7059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Pr="00C607CB" w:rsidR="00BD2A9F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                            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noProof/>
          <w:sz w:val="18"/>
          <w:szCs w:val="18"/>
        </w:rPr>
        <w:t>Adriano Radolović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Pr="00C607CB" w:rsidR="006D45F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Pr="00C607CB" w:rsidR="003A2EF0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r w:rsidR="003B69FC">
        <w:rPr>
          <w:rFonts w:ascii="Century Gothic" w:hAnsi="Century Gothic" w:cs="Tahoma"/>
          <w:bCs/>
          <w:noProof/>
          <w:sz w:val="18"/>
          <w:szCs w:val="18"/>
        </w:rPr>
        <w:t>12/21/2013</w:t>
      </w:r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Sect="00A1218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7</cp:revision>
  <cp:lastPrinted>2013-01-04T14:44:00Z</cp:lastPrinted>
  <dcterms:created xsi:type="dcterms:W3CDTF">2013-01-19T10:11:00Z</dcterms:created>
  <dcterms:modified xsi:type="dcterms:W3CDTF">2013-11-13T22:32:00Z</dcterms:modified>
</cp:coreProperties>
</file>