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108" w:type="dxa"/>
        <w:tblW w:w="0" w:type="auto"/>
        <w:tblBorders>
          <w:bottom w:val="single" w:color="auto" w:sz="18" w:space="0"/>
        </w:tblBorders>
        <w:tblLook w:val="01E0" w:firstRow="1" w:lastRow="1" w:firstColumn="1" w:lastColumn="1" w:noHBand="0" w:noVBand="0"/>
      </w:tblPr>
      <w:tblGrid>
        <w:gridCol w:w="1247"/>
        <w:gridCol w:w="8391"/>
      </w:tblGrid>
      <w:tr>
        <w:trPr>
          <w:trHeight w:val="737"/>
        </w:trPr>
        <w:tc>
          <w:tcPr>
            <w:tcBorders/>
            <w:tcW w:w="1247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9575" cy="447675"/>
                      <wp:effectExtent l="0" t="0" r="9525" b="9525"/>
                      <wp:docPr id="1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9575" cy="447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2.25pt;height:35.25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8391" w:type="dxa"/>
            <w:vAlign w:val="center"/>
          </w:tcPr>
          <w:p>
            <w:pPr>
              <w:pStyle w:val="770"/>
              <w:pBdr/>
              <w:spacing/>
              <w:ind w:right="-105"/>
              <w:rPr>
                <w:szCs w:val="26"/>
              </w:rPr>
            </w:pPr>
            <w:r>
              <w:rPr>
                <w:szCs w:val="26"/>
              </w:rPr>
              <w:t xml:space="preserve">Зборник радова Факултета техничких наука, НовиСад</w:t>
            </w:r>
            <w:r>
              <w:rPr>
                <w:szCs w:val="26"/>
              </w:rPr>
            </w:r>
          </w:p>
        </w:tc>
      </w:tr>
    </w:tbl>
    <w:p>
      <w:pPr>
        <w:pStyle w:val="772"/>
        <w:pBdr/>
        <w:spacing/>
        <w:ind/>
        <w:rPr>
          <w:lang w:val="sr-Latn-CS"/>
        </w:rPr>
      </w:pPr>
      <w:r>
        <w:t xml:space="preserve">УДК</w:t>
      </w:r>
      <w:r>
        <w:t xml:space="preserve">:</w:t>
      </w:r>
      <w:r>
        <w:t xml:space="preserve"> (</w:t>
      </w:r>
      <w:r>
        <w:rPr>
          <w:lang w:val="sr-Latn-CS"/>
        </w:rPr>
        <w:t xml:space="preserve">Уписује </w:t>
      </w:r>
      <w:r>
        <w:rPr>
          <w:lang w:val="sr-Latn-CS"/>
        </w:rPr>
        <w:t xml:space="preserve">редакција</w:t>
      </w:r>
      <w:r>
        <w:rPr>
          <w:lang w:val="sr-Latn-CS"/>
        </w:rPr>
        <w:t xml:space="preserve">, оставити </w:t>
      </w:r>
      <w:r>
        <w:rPr>
          <w:lang w:val="sr-Latn-CS"/>
        </w:rPr>
        <w:t xml:space="preserve">овај</w:t>
      </w:r>
      <w:r>
        <w:rPr>
          <w:lang w:val="sr-Latn-CS"/>
        </w:rPr>
        <w:t xml:space="preserve"> ред)</w:t>
      </w:r>
      <w:r>
        <w:rPr>
          <w:lang w:val="sr-Latn-CS"/>
        </w:rPr>
      </w:r>
    </w:p>
    <w:p>
      <w:pPr>
        <w:pStyle w:val="772"/>
        <w:pBdr/>
        <w:spacing/>
        <w:ind/>
        <w:rPr>
          <w:lang w:val="sr-Latn-CS"/>
        </w:rPr>
      </w:pPr>
      <w:r>
        <w:rPr>
          <w:lang w:val="sr-Latn-CS"/>
        </w:rPr>
        <w:t xml:space="preserve">ДОИ: </w:t>
      </w:r>
      <w:r>
        <w:rPr>
          <w:lang w:val="sr-Latn-CS"/>
        </w:rPr>
        <w:t xml:space="preserve">(</w:t>
      </w:r>
      <w:r>
        <w:rPr>
          <w:lang w:val="sr-Latn-CS"/>
        </w:rPr>
        <w:t xml:space="preserve">Уписује редакција, оставити </w:t>
      </w:r>
      <w:r>
        <w:rPr>
          <w:lang w:val="sr-Latn-CS"/>
        </w:rPr>
        <w:t xml:space="preserve">овај</w:t>
      </w:r>
      <w:r>
        <w:rPr>
          <w:lang w:val="sr-Latn-CS"/>
        </w:rPr>
        <w:t xml:space="preserve"> ред)</w:t>
      </w:r>
      <w:r>
        <w:rPr>
          <w:lang w:val="sr-Latn-CS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12"/>
          <w:szCs w:val="24"/>
          <w:lang w:val="sr-Latn-CS"/>
        </w:rPr>
      </w:pPr>
      <w:r>
        <w:rPr>
          <w:rFonts w:ascii="Times New Roman" w:hAnsi="Times New Roman" w:eastAsia="Times New Roman" w:cs="Times New Roman"/>
          <w:sz w:val="12"/>
          <w:szCs w:val="24"/>
          <w:lang w:val="sr-Latn-CS"/>
        </w:rPr>
      </w:r>
      <w:r>
        <w:rPr>
          <w:rFonts w:ascii="Times New Roman" w:hAnsi="Times New Roman" w:eastAsia="Times New Roman" w:cs="Times New Roman"/>
          <w:sz w:val="12"/>
          <w:szCs w:val="24"/>
          <w:lang w:val="sr-Latn-CS"/>
        </w:rPr>
      </w:r>
    </w:p>
    <w:p>
      <w:pPr>
        <w:pStyle w:val="769"/>
        <w:pBdr/>
        <w:spacing/>
        <w:ind/>
        <w:rPr/>
      </w:pPr>
      <w:r>
        <w:t xml:space="preserve">Дизајн и имплементација </w:t>
      </w:r>
      <w:r>
        <w:rPr>
          <w:i/>
        </w:rPr>
        <w:t xml:space="preserve">EIP-7702</w:t>
      </w:r>
      <w:r>
        <w:t xml:space="preserve">-компатибилног </w:t>
      </w:r>
      <w:r>
        <w:rPr>
          <w:i/>
        </w:rPr>
        <w:t xml:space="preserve">Ethereum</w:t>
      </w:r>
      <w:r>
        <w:t xml:space="preserve"> вишепотписног дигиталног новчаника</w:t>
      </w:r>
      <w:r/>
    </w:p>
    <w:p>
      <w:pPr>
        <w:pStyle w:val="769"/>
        <w:pBdr/>
        <w:spacing/>
        <w:ind/>
        <w:rPr>
          <w:i/>
          <w:iCs w:val="0"/>
        </w:rPr>
      </w:pPr>
      <w:r>
        <w:rPr>
          <w:i/>
          <w:iCs w:val="0"/>
        </w:rPr>
        <w:t xml:space="preserve">Des</w:t>
      </w:r>
      <w:r>
        <w:rPr>
          <w:i/>
          <w:iCs w:val="0"/>
        </w:rPr>
        <w:t xml:space="preserve">ign and implementation of an EIP-7702-compatible E</w:t>
      </w:r>
      <w:r>
        <w:rPr>
          <w:i/>
          <w:iCs w:val="0"/>
        </w:rPr>
        <w:t xml:space="preserve">thereum multi-signature wallet</w:t>
      </w:r>
      <w:r>
        <w:rPr>
          <w:i/>
          <w:iCs w:val="0"/>
        </w:rPr>
      </w:r>
    </w:p>
    <w:p>
      <w:pPr>
        <w:pStyle w:val="774"/>
        <w:pBdr/>
        <w:spacing w:before="120"/>
        <w:ind/>
        <w:rPr>
          <w:rStyle w:val="777"/>
          <w:b/>
          <w:iCs/>
        </w:rPr>
      </w:pPr>
      <w:r>
        <w:rPr>
          <w:rStyle w:val="775"/>
        </w:rPr>
        <w:t xml:space="preserve">Александар Стојановић</w:t>
      </w:r>
      <w:r>
        <w:rPr>
          <w:rStyle w:val="775"/>
        </w:rPr>
        <w:t xml:space="preserve">, </w:t>
      </w:r>
      <w:r>
        <w:rPr>
          <w:rStyle w:val="777"/>
        </w:rPr>
        <w:t xml:space="preserve">Факултет техничких наука, Нови Сад</w:t>
      </w:r>
      <w:r>
        <w:rPr>
          <w:rStyle w:val="777"/>
          <w:b/>
          <w:iCs/>
        </w:rPr>
      </w:r>
    </w:p>
    <w:p>
      <w:pPr>
        <w:pBdr/>
        <w:spacing/>
        <w:ind/>
        <w:rPr>
          <w:rFonts w:ascii="Times New Roman" w:hAnsi="Times New Roman" w:eastAsia="Times New Roman" w:cs="Times New Roman"/>
          <w:i/>
          <w:iCs/>
          <w:sz w:val="12"/>
          <w:szCs w:val="12"/>
          <w:lang w:val="sr-Latn-CS"/>
        </w:rPr>
      </w:pPr>
      <w:r>
        <w:rPr>
          <w:rFonts w:ascii="Times New Roman" w:hAnsi="Times New Roman" w:eastAsia="Times New Roman" w:cs="Times New Roman"/>
          <w:i/>
          <w:iCs/>
          <w:sz w:val="12"/>
          <w:szCs w:val="12"/>
          <w:lang w:val="sr-Latn-CS"/>
        </w:rPr>
      </w:r>
      <w:r>
        <w:rPr>
          <w:rFonts w:ascii="Times New Roman" w:hAnsi="Times New Roman" w:eastAsia="Times New Roman" w:cs="Times New Roman"/>
          <w:i/>
          <w:iCs/>
          <w:sz w:val="12"/>
          <w:szCs w:val="12"/>
          <w:lang w:val="sr-Latn-CS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iCs/>
          <w:sz w:val="12"/>
          <w:szCs w:val="12"/>
          <w:lang w:val="sr-Latn-CS"/>
        </w:rPr>
        <w:sectPr>
          <w:footnotePr/>
          <w:endnotePr/>
          <w:type w:val="nextPage"/>
          <w:pgSz w:h="16838" w:orient="portrait" w:w="11906"/>
          <w:pgMar w:top="1134" w:right="1134" w:bottom="1134" w:left="1134" w:header="708" w:footer="708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iCs/>
          <w:sz w:val="12"/>
          <w:szCs w:val="12"/>
          <w:lang w:val="sr-Latn-CS"/>
        </w:rPr>
      </w:r>
      <w:r>
        <w:rPr>
          <w:rFonts w:ascii="Times New Roman" w:hAnsi="Times New Roman" w:eastAsia="Times New Roman" w:cs="Times New Roman"/>
          <w:iCs/>
          <w:sz w:val="12"/>
          <w:szCs w:val="12"/>
          <w:lang w:val="sr-Latn-CS"/>
        </w:rPr>
      </w:r>
    </w:p>
    <w:p>
      <w:pPr>
        <w:pStyle w:val="778"/>
        <w:pBdr/>
        <w:spacing/>
        <w:ind/>
        <w:rPr/>
      </w:pPr>
      <w:r>
        <w:t xml:space="preserve">Студијски програм</w:t>
      </w:r>
      <w:r>
        <w:t xml:space="preserve"> – </w:t>
      </w:r>
      <w:r>
        <w:t xml:space="preserve">Рачунарство и аутоматика</w:t>
      </w:r>
      <w:r/>
    </w:p>
    <w:p>
      <w:pPr>
        <w:pBdr/>
        <w:spacing/>
        <w:ind w:firstLine="0"/>
        <w:rPr>
          <w:rFonts w:ascii="Times New Roman" w:hAnsi="Times New Roman" w:eastAsia="Times New Roman" w:cs="Times New Roman"/>
          <w:i/>
          <w:iCs/>
          <w:szCs w:val="20"/>
        </w:rPr>
      </w:pPr>
      <w:r>
        <w:rPr>
          <w:rStyle w:val="779"/>
          <w:rFonts w:eastAsiaTheme="minorEastAsia"/>
        </w:rPr>
        <w:t xml:space="preserve">Кратак садржај</w:t>
      </w:r>
      <w:r>
        <w:rPr>
          <w:rFonts w:ascii="Times New Roman" w:hAnsi="Times New Roman" w:eastAsia="Times New Roman" w:cs="Times New Roman"/>
          <w:b/>
          <w:iCs/>
          <w:szCs w:val="20"/>
          <w:lang w:val="sr-Latn-CS"/>
        </w:rPr>
        <w:t xml:space="preserve"> –</w:t>
      </w:r>
      <w:r>
        <w:rPr>
          <w:rFonts w:ascii="Times New Roman" w:hAnsi="Times New Roman" w:eastAsia="Times New Roman" w:cs="Times New Roman"/>
          <w:b/>
          <w:iCs/>
          <w:szCs w:val="20"/>
        </w:rPr>
        <w:t xml:space="preserve"> </w:t>
      </w:r>
      <w:r>
        <w:rPr>
          <w:rStyle w:val="781"/>
          <w:rFonts w:eastAsiaTheme="minorEastAsia"/>
        </w:rPr>
        <w:t xml:space="preserve">У овом раду предст</w:t>
      </w:r>
      <w:r>
        <w:rPr>
          <w:rStyle w:val="781"/>
          <w:rFonts w:eastAsiaTheme="minorEastAsia"/>
        </w:rPr>
        <w:t xml:space="preserve">ављен је вишепотписни Ethereum</w:t>
      </w:r>
      <w:r>
        <w:rPr>
          <w:rStyle w:val="781"/>
          <w:rFonts w:eastAsiaTheme="minorEastAsia"/>
        </w:rPr>
        <w:t xml:space="preserve"> новчаник који решава два ограничења стандардног </w:t>
      </w:r>
      <w:r>
        <w:rPr>
          <w:rStyle w:val="781"/>
          <w:rFonts w:eastAsiaTheme="minorEastAsia"/>
        </w:rPr>
        <w:t xml:space="preserve">налога у власништву корисника (EOA</w:t>
      </w:r>
      <w:r>
        <w:rPr>
          <w:rStyle w:val="781"/>
          <w:rFonts w:eastAsiaTheme="minorEastAsia"/>
        </w:rPr>
        <w:t xml:space="preserve">): одсуство вишепотписне ауторизације и потребу за две одвојене </w:t>
      </w:r>
      <w:r>
        <w:rPr>
          <w:rStyle w:val="781"/>
          <w:rFonts w:eastAsiaTheme="minorEastAsia"/>
        </w:rPr>
        <w:t xml:space="preserve">трансакције при депоновању ERC-20 </w:t>
      </w:r>
      <w:r>
        <w:rPr>
          <w:rStyle w:val="781"/>
          <w:rFonts w:eastAsiaTheme="minorEastAsia"/>
        </w:rPr>
        <w:t xml:space="preserve"> токена. Предложено решење комбинује </w:t>
      </w:r>
      <w:r>
        <w:rPr>
          <w:rStyle w:val="781"/>
          <w:rFonts w:eastAsiaTheme="minorEastAsia"/>
        </w:rPr>
        <w:t xml:space="preserve">вишепотписни паметни уговор са EIP-7702</w:t>
      </w:r>
      <w:r>
        <w:rPr>
          <w:rStyle w:val="781"/>
          <w:rFonts w:eastAsiaTheme="minorEastAsia"/>
        </w:rPr>
        <w:t xml:space="preserve"> механизмом делегације кода, чиме корисник у једној трансакцији атомски одобрава и депонује средства. Рад укључује и демонстрацију система ства</w:t>
      </w:r>
      <w:r>
        <w:rPr>
          <w:rStyle w:val="781"/>
          <w:rFonts w:eastAsiaTheme="minorEastAsia"/>
        </w:rPr>
        <w:t xml:space="preserve">рним трансакцијама на Sepolia</w:t>
      </w:r>
      <w:r>
        <w:rPr>
          <w:rStyle w:val="781"/>
          <w:rFonts w:eastAsiaTheme="minorEastAsia"/>
        </w:rPr>
        <w:t xml:space="preserve"> тест мрежи, којима је потврђена уштеда гаса од приближно 38% у односу на класичан приступ.</w:t>
      </w:r>
      <w:r>
        <w:rPr>
          <w:rFonts w:ascii="Times New Roman" w:hAnsi="Times New Roman" w:eastAsia="Times New Roman" w:cs="Times New Roman"/>
          <w:i/>
          <w:iCs/>
          <w:szCs w:val="20"/>
        </w:rPr>
      </w:r>
    </w:p>
    <w:p>
      <w:pPr>
        <w:pStyle w:val="778"/>
        <w:pBdr/>
        <w:spacing/>
        <w:ind/>
        <w:rPr>
          <w:rStyle w:val="781"/>
          <w:b w:val="0"/>
          <w:bCs/>
        </w:rPr>
      </w:pPr>
      <w:r>
        <w:t xml:space="preserve">Кључне речи</w:t>
      </w:r>
      <w:r>
        <w:t xml:space="preserve"> (три до </w:t>
      </w:r>
      <w:r>
        <w:t xml:space="preserve">пет</w:t>
      </w:r>
      <w:r>
        <w:t xml:space="preserve">)</w:t>
      </w:r>
      <w:r>
        <w:t xml:space="preserve">: </w:t>
      </w:r>
      <w:r>
        <w:rPr>
          <w:rStyle w:val="781"/>
          <w:b w:val="0"/>
          <w:bCs/>
        </w:rPr>
        <w:t xml:space="preserve">блокчејн, вишепотписни уговори, EIP-7702, апстракција налога</w:t>
      </w:r>
      <w:r>
        <w:rPr>
          <w:rStyle w:val="781"/>
          <w:b w:val="0"/>
          <w:bCs/>
        </w:rPr>
      </w:r>
    </w:p>
    <w:p>
      <w:pPr>
        <w:pBdr/>
        <w:spacing/>
        <w:ind w:firstLine="0"/>
        <w:rPr>
          <w:rStyle w:val="781"/>
        </w:rPr>
      </w:pPr>
      <w:r>
        <w:rPr>
          <w:rStyle w:val="779"/>
          <w:rFonts w:eastAsiaTheme="minorEastAsia"/>
        </w:rPr>
        <w:t xml:space="preserve">Abstract</w:t>
      </w:r>
      <w:r>
        <w:rPr>
          <w:rStyle w:val="779"/>
          <w:rFonts w:eastAsiaTheme="minorEastAsia"/>
        </w:rPr>
        <w:t xml:space="preserve"> </w:t>
      </w:r>
      <w:r>
        <w:rPr>
          <w:rFonts w:ascii="Times New Roman" w:hAnsi="Times New Roman" w:eastAsia="Times New Roman" w:cs="Times New Roman"/>
          <w:iCs/>
          <w:szCs w:val="20"/>
          <w:lang w:val="sr-Latn-CS"/>
        </w:rPr>
        <w:t xml:space="preserve">–</w:t>
      </w:r>
      <w:r>
        <w:rPr>
          <w:rFonts w:ascii="Times New Roman" w:hAnsi="Times New Roman" w:eastAsia="Times New Roman" w:cs="Times New Roman"/>
          <w:i/>
          <w:iCs/>
          <w:szCs w:val="20"/>
        </w:rPr>
        <w:t xml:space="preserve"> </w:t>
      </w:r>
      <w:r>
        <w:rPr>
          <w:rStyle w:val="781"/>
          <w:rFonts w:eastAsiaTheme="minorEastAsia"/>
        </w:rPr>
        <w:t xml:space="preserve">This paper presents a multisig Ethereum wallet that addresses two limitations of the stand</w:t>
      </w:r>
      <w:r>
        <w:rPr>
          <w:rStyle w:val="781"/>
          <w:rFonts w:eastAsiaTheme="minorEastAsia"/>
        </w:rPr>
        <w:t xml:space="preserve">ard externally owned account (EOA): the lack of multisignature authorization and the need for two separate transactions when depositing ERC-20 tokens. The proposed solution combines a multisig smart contract with the EIP-7702 code delegation mechanism, all</w:t>
      </w:r>
      <w:r>
        <w:rPr>
          <w:rStyle w:val="781"/>
          <w:rFonts w:eastAsiaTheme="minorEastAsia"/>
        </w:rPr>
        <w:t xml:space="preserve">owing a user to atomically approve and deposit funds in a single transaction. The work includes a demonstration of the system with real transactions on the Sepolia test network, confirming a gas saving of approximately 38% compared to the classic approach.</w:t>
      </w:r>
      <w:r>
        <w:rPr>
          <w:rStyle w:val="781"/>
        </w:rPr>
      </w:r>
    </w:p>
    <w:p>
      <w:pPr>
        <w:pBdr/>
        <w:spacing/>
        <w:ind w:firstLine="0"/>
        <w:rPr>
          <w:rFonts w:ascii="Times New Roman" w:hAnsi="Times New Roman" w:eastAsia="Times New Roman" w:cs="Times New Roman"/>
          <w:i/>
          <w:iCs/>
          <w:szCs w:val="20"/>
        </w:rPr>
      </w:pPr>
      <w:r>
        <w:rPr>
          <w:rStyle w:val="779"/>
          <w:rFonts w:eastAsiaTheme="minorEastAsia"/>
        </w:rPr>
        <w:t xml:space="preserve">Keywords</w:t>
      </w:r>
      <w:r>
        <w:rPr>
          <w:rStyle w:val="779"/>
          <w:rFonts w:eastAsiaTheme="minorEastAsia"/>
        </w:rPr>
        <w:t xml:space="preserve">:</w:t>
      </w:r>
      <w:r>
        <w:rPr>
          <w:rStyle w:val="779"/>
          <w:rFonts w:eastAsiaTheme="minorEastAsia"/>
        </w:rPr>
        <w:t xml:space="preserve"> (three to five</w:t>
      </w:r>
      <w:r>
        <w:rPr>
          <w:rFonts w:ascii="Times New Roman" w:hAnsi="Times New Roman" w:eastAsia="Times New Roman" w:cs="Times New Roman"/>
          <w:b/>
          <w:iCs/>
          <w:szCs w:val="20"/>
          <w:lang w:val="en-US"/>
        </w:rPr>
        <w:t xml:space="preserve">)</w:t>
      </w:r>
      <w:r>
        <w:rPr>
          <w:rFonts w:ascii="Times New Roman" w:hAnsi="Times New Roman" w:eastAsia="Times New Roman" w:cs="Times New Roman"/>
          <w:b/>
          <w:iCs/>
          <w:szCs w:val="20"/>
        </w:rPr>
        <w:t xml:space="preserve">:</w:t>
      </w:r>
      <w:r>
        <w:rPr>
          <w:rFonts w:ascii="Times New Roman" w:hAnsi="Times New Roman" w:eastAsia="Times New Roman" w:cs="Times New Roman"/>
          <w:i/>
          <w:iCs/>
          <w:szCs w:val="20"/>
        </w:rPr>
        <w:t xml:space="preserve"> </w:t>
      </w:r>
      <w:r>
        <w:rPr>
          <w:rStyle w:val="781"/>
          <w:rFonts w:eastAsiaTheme="minorEastAsia"/>
        </w:rPr>
        <w:t xml:space="preserve">blockchain, multisig contracts, EIP-7702, account abstraction</w:t>
      </w:r>
      <w:r>
        <w:rPr>
          <w:rFonts w:ascii="Times New Roman" w:hAnsi="Times New Roman" w:eastAsia="Times New Roman" w:cs="Times New Roman"/>
          <w:i/>
          <w:iCs/>
          <w:szCs w:val="20"/>
        </w:rPr>
      </w:r>
    </w:p>
    <w:p>
      <w:pPr>
        <w:pStyle w:val="782"/>
        <w:pBdr/>
        <w:spacing/>
        <w:ind/>
        <w:rPr/>
      </w:pPr>
      <w:r>
        <w:t xml:space="preserve">__________________________________________</w:t>
      </w:r>
      <w:r/>
    </w:p>
    <w:p>
      <w:pPr>
        <w:pStyle w:val="782"/>
        <w:pBdr/>
        <w:spacing/>
        <w:ind/>
        <w:rPr/>
      </w:pPr>
      <w:r>
        <w:rPr>
          <w:b/>
        </w:rPr>
        <w:t xml:space="preserve">НАПОМЕНА:</w:t>
      </w:r>
      <w:r>
        <w:rPr>
          <w:b/>
        </w:rPr>
        <w:t xml:space="preserve"> </w:t>
      </w:r>
      <w:r>
        <w:rPr>
          <w:b/>
        </w:rPr>
        <w:t xml:space="preserve">Овај рад проистекао је из мастер рада чији ментор је био др Душан Гајић, </w:t>
      </w:r>
      <w:r>
        <w:rPr>
          <w:b/>
          <w:lang w:val="sr-Cyrl"/>
        </w:rPr>
        <w:t xml:space="preserve">редовни</w:t>
      </w:r>
      <w:r>
        <w:rPr>
          <w:b/>
        </w:rPr>
        <w:t xml:space="preserve"> проф</w:t>
      </w:r>
      <w:r>
        <w:rPr>
          <w:b/>
          <w:lang w:val="sr-Cyrl"/>
        </w:rPr>
        <w:t xml:space="preserve">есор</w:t>
      </w:r>
      <w:r/>
    </w:p>
    <w:p>
      <w:pPr>
        <w:pStyle w:val="784"/>
        <w:pBdr/>
        <w:spacing/>
        <w:ind/>
        <w:rPr/>
      </w:pPr>
      <w:r>
        <w:t xml:space="preserve">УВОД</w:t>
      </w:r>
      <w:r/>
    </w:p>
    <w:p>
      <w:pPr>
        <w:pStyle w:val="786"/>
        <w:pBdr/>
        <w:spacing/>
        <w:ind/>
        <w:rPr>
          <w:rFonts w:ascii="Times New Roman" w:hAnsi="Times New Roman" w:cs="Times New Roman"/>
          <w:iCs/>
          <w:szCs w:val="20"/>
        </w:rPr>
      </w:pPr>
      <w:r>
        <w:rPr>
          <w:rFonts w:ascii="Times New Roman" w:hAnsi="Times New Roman" w:cs="Times New Roman"/>
          <w:iCs/>
          <w:szCs w:val="20"/>
        </w:rPr>
        <w:t xml:space="preserve">Блокчејн технологија, уведена </w:t>
      </w:r>
      <w:r>
        <w:rPr>
          <w:rFonts w:ascii="Times New Roman" w:hAnsi="Times New Roman" w:cs="Times New Roman"/>
          <w:i/>
          <w:iCs/>
          <w:szCs w:val="20"/>
        </w:rPr>
        <w:t xml:space="preserve">Bitcoin</w:t>
      </w:r>
      <w:r>
        <w:rPr>
          <w:rFonts w:ascii="Times New Roman" w:hAnsi="Times New Roman" w:cs="Times New Roman"/>
          <w:iCs/>
          <w:szCs w:val="20"/>
        </w:rPr>
        <w:t xml:space="preserve"> мрежом [1], омогућила је настанак дигиталне имовине без централи</w:t>
      </w:r>
      <w:r>
        <w:rPr>
          <w:rFonts w:ascii="Times New Roman" w:hAnsi="Times New Roman" w:cs="Times New Roman"/>
          <w:iCs/>
          <w:szCs w:val="20"/>
        </w:rPr>
        <w:t xml:space="preserve">зованог посредника. Стандардни </w:t>
      </w:r>
      <w:r>
        <w:rPr>
          <w:rFonts w:ascii="Times New Roman" w:hAnsi="Times New Roman" w:cs="Times New Roman"/>
          <w:i/>
          <w:iCs/>
          <w:szCs w:val="20"/>
        </w:rPr>
        <w:t xml:space="preserve">Ethereum</w:t>
      </w:r>
      <w:r>
        <w:rPr>
          <w:rFonts w:ascii="Times New Roman" w:hAnsi="Times New Roman" w:cs="Times New Roman"/>
          <w:iCs/>
          <w:szCs w:val="20"/>
        </w:rPr>
        <w:t xml:space="preserve"> налог у власништву корисника (</w:t>
      </w:r>
      <w:r>
        <w:rPr>
          <w:rFonts w:ascii="Times New Roman" w:hAnsi="Times New Roman" w:cs="Times New Roman"/>
          <w:i/>
          <w:iCs/>
          <w:szCs w:val="20"/>
        </w:rPr>
        <w:t xml:space="preserve">Externally Owned Account, EOA</w:t>
      </w:r>
      <w:r>
        <w:rPr>
          <w:rFonts w:ascii="Times New Roman" w:hAnsi="Times New Roman" w:cs="Times New Roman"/>
          <w:iCs/>
          <w:szCs w:val="20"/>
        </w:rPr>
        <w:t xml:space="preserve">) ауторизује сваку трансакцију искључиво једним приватним кључем, без могућности дефинисања прага сагласности више страна [2]. Ово представља јединствену тачку отказа: компромитовање једног кључа даје неограничен </w:t>
      </w:r>
      <w:r>
        <w:rPr>
          <w:rFonts w:ascii="Times New Roman" w:hAnsi="Times New Roman" w:cs="Times New Roman"/>
          <w:iCs/>
          <w:szCs w:val="20"/>
        </w:rPr>
        <w:t xml:space="preserve">приступ целокупној имовини налога. Виш</w:t>
      </w:r>
      <w:r>
        <w:rPr>
          <w:rFonts w:ascii="Times New Roman" w:hAnsi="Times New Roman" w:cs="Times New Roman"/>
          <w:iCs/>
          <w:szCs w:val="20"/>
        </w:rPr>
        <w:t xml:space="preserve">епотписни (</w:t>
      </w:r>
      <w:r>
        <w:rPr>
          <w:rFonts w:ascii="Times New Roman" w:hAnsi="Times New Roman" w:cs="Times New Roman"/>
          <w:i/>
          <w:iCs/>
          <w:szCs w:val="20"/>
        </w:rPr>
        <w:t xml:space="preserve">multisig</w:t>
      </w:r>
      <w:r>
        <w:rPr>
          <w:rFonts w:ascii="Times New Roman" w:hAnsi="Times New Roman" w:cs="Times New Roman"/>
          <w:iCs/>
          <w:szCs w:val="20"/>
        </w:rPr>
        <w:t xml:space="preserve">) протоколи решавају овај проблем захтевањем сагласности </w:t>
      </w:r>
      <w:r>
        <w:rPr>
          <w:rFonts w:ascii="Times New Roman" w:hAnsi="Times New Roman" w:cs="Times New Roman"/>
          <w:i/>
          <w:iCs/>
          <w:szCs w:val="20"/>
        </w:rPr>
        <w:t xml:space="preserve">M</w:t>
      </w:r>
      <w:r>
        <w:rPr>
          <w:rFonts w:ascii="Times New Roman" w:hAnsi="Times New Roman" w:cs="Times New Roman"/>
          <w:iCs/>
          <w:szCs w:val="20"/>
        </w:rPr>
        <w:t xml:space="preserve"> од </w:t>
      </w:r>
      <w:r>
        <w:rPr>
          <w:rFonts w:ascii="Times New Roman" w:hAnsi="Times New Roman" w:cs="Times New Roman"/>
          <w:i/>
          <w:iCs/>
          <w:szCs w:val="20"/>
        </w:rPr>
        <w:t xml:space="preserve">N</w:t>
      </w:r>
      <w:r>
        <w:rPr>
          <w:rFonts w:ascii="Times New Roman" w:hAnsi="Times New Roman" w:cs="Times New Roman"/>
          <w:iCs/>
          <w:szCs w:val="20"/>
        </w:rPr>
        <w:t xml:space="preserve"> потписника пре извршења трансакције, на начин аналоган потписивању корпоративних рачуна у традиционалним финансијама.</w:t>
      </w:r>
      <w:r>
        <w:rPr>
          <w:rFonts w:ascii="Times New Roman" w:hAnsi="Times New Roman" w:cs="Times New Roman"/>
          <w:iCs/>
          <w:szCs w:val="20"/>
        </w:rPr>
      </w:r>
    </w:p>
    <w:p>
      <w:pPr>
        <w:pStyle w:val="786"/>
        <w:pBdr/>
        <w:spacing/>
        <w:ind/>
        <w:rPr>
          <w:rFonts w:ascii="Times New Roman" w:hAnsi="Times New Roman" w:cs="Times New Roman"/>
          <w:iCs/>
          <w:szCs w:val="20"/>
          <w:lang w:val="en-US"/>
        </w:rPr>
      </w:pPr>
      <w:r>
        <w:rPr>
          <w:rFonts w:ascii="Times New Roman" w:hAnsi="Times New Roman" w:cs="Times New Roman"/>
          <w:iCs/>
          <w:szCs w:val="20"/>
        </w:rPr>
        <w:t xml:space="preserve">Додатни проблем јавља се при раду са </w:t>
      </w:r>
      <w:r>
        <w:rPr>
          <w:rFonts w:ascii="Times New Roman" w:hAnsi="Times New Roman" w:cs="Times New Roman"/>
          <w:i/>
          <w:iCs/>
          <w:szCs w:val="20"/>
        </w:rPr>
        <w:t xml:space="preserve">ERC-20</w:t>
      </w:r>
      <w:r>
        <w:rPr>
          <w:rFonts w:ascii="Times New Roman" w:hAnsi="Times New Roman" w:cs="Times New Roman"/>
          <w:iCs/>
          <w:szCs w:val="20"/>
        </w:rPr>
        <w:t xml:space="preserve"> токенима [3]: стандард захтева </w:t>
      </w:r>
      <w:r>
        <w:rPr>
          <w:rFonts w:ascii="Times New Roman" w:hAnsi="Times New Roman" w:cs="Times New Roman"/>
          <w:iCs/>
          <w:szCs w:val="20"/>
        </w:rPr>
        <w:t xml:space="preserve">да корисник пошаље трансакцију </w:t>
      </w:r>
      <w:r>
        <w:rPr>
          <w:rFonts w:ascii="Times New Roman" w:hAnsi="Times New Roman" w:cs="Times New Roman"/>
          <w:i/>
          <w:iCs/>
          <w:szCs w:val="20"/>
        </w:rPr>
        <w:t xml:space="preserve">approve()</w:t>
      </w:r>
      <w:r>
        <w:rPr>
          <w:rFonts w:ascii="Times New Roman" w:hAnsi="Times New Roman" w:cs="Times New Roman"/>
          <w:iCs/>
          <w:szCs w:val="20"/>
        </w:rPr>
        <w:t xml:space="preserve">, а тек затим паметни уговор може позвати </w:t>
      </w:r>
      <w:r>
        <w:rPr>
          <w:rFonts w:ascii="Times New Roman" w:hAnsi="Times New Roman" w:cs="Times New Roman"/>
          <w:i/>
          <w:iCs/>
          <w:szCs w:val="20"/>
        </w:rPr>
        <w:t xml:space="preserve">transferFrom()</w:t>
      </w:r>
      <w:r>
        <w:rPr>
          <w:rFonts w:ascii="Times New Roman" w:hAnsi="Times New Roman" w:cs="Times New Roman"/>
          <w:iCs/>
          <w:szCs w:val="20"/>
        </w:rPr>
        <w:t xml:space="preserve"> у другој, засебној трансакцији. Корисник плаћа накнаду за гас два пута и потврђује две одвојене блокчејн операције, што је посебно изражено код вишепотписних новчаника, где више корисника дели власништво над заједничким средствима.</w:t>
      </w:r>
      <w:r>
        <w:rPr>
          <w:rFonts w:ascii="Times New Roman" w:hAnsi="Times New Roman" w:cs="Times New Roman"/>
          <w:iCs/>
          <w:szCs w:val="20"/>
          <w:lang w:val="en-US"/>
        </w:rPr>
      </w:r>
    </w:p>
    <w:p>
      <w:pPr>
        <w:pStyle w:val="786"/>
        <w:pBdr/>
        <w:spacing/>
        <w:ind/>
        <w:rPr>
          <w:rFonts w:ascii="Times New Roman" w:hAnsi="Times New Roman" w:cs="Times New Roman"/>
          <w:iCs/>
          <w:szCs w:val="20"/>
          <w:lang w:val="en-US"/>
        </w:rPr>
      </w:pPr>
      <w:r>
        <w:rPr>
          <w:rFonts w:ascii="Times New Roman" w:hAnsi="Times New Roman" w:cs="Times New Roman"/>
          <w:iCs/>
          <w:szCs w:val="20"/>
          <w:lang w:val="en-US"/>
        </w:rPr>
        <w:t xml:space="preserve">Овај рад представља вишепотписни </w:t>
      </w:r>
      <w:r>
        <w:rPr>
          <w:rFonts w:ascii="Times New Roman" w:hAnsi="Times New Roman" w:cs="Times New Roman"/>
          <w:i/>
          <w:iCs/>
          <w:szCs w:val="20"/>
          <w:lang w:val="en-US"/>
        </w:rPr>
        <w:t xml:space="preserve">Ethereum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 новчаник који комбинује </w:t>
      </w:r>
      <w:r>
        <w:rPr>
          <w:rFonts w:ascii="Times New Roman" w:hAnsi="Times New Roman" w:cs="Times New Roman"/>
          <w:i/>
          <w:iCs/>
          <w:szCs w:val="20"/>
          <w:lang w:val="en-US"/>
        </w:rPr>
        <w:t xml:space="preserve">M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-од-</w:t>
      </w:r>
      <w:r>
        <w:rPr>
          <w:rFonts w:ascii="Times New Roman" w:hAnsi="Times New Roman" w:cs="Times New Roman"/>
          <w:i/>
          <w:iCs/>
          <w:szCs w:val="20"/>
          <w:lang w:val="en-US"/>
        </w:rPr>
        <w:t xml:space="preserve">N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 паметан уговор са механизмом </w:t>
      </w:r>
      <w:r>
        <w:rPr>
          <w:rFonts w:ascii="Times New Roman" w:hAnsi="Times New Roman" w:cs="Times New Roman"/>
          <w:i/>
          <w:iCs/>
          <w:szCs w:val="20"/>
          <w:lang w:val="en-US"/>
        </w:rPr>
        <w:t xml:space="preserve">EIP-7702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 [4], уведеним </w:t>
      </w:r>
      <w:r>
        <w:rPr>
          <w:rFonts w:ascii="Times New Roman" w:hAnsi="Times New Roman" w:cs="Times New Roman"/>
          <w:i/>
          <w:iCs/>
          <w:szCs w:val="20"/>
          <w:lang w:val="en-US"/>
        </w:rPr>
        <w:t xml:space="preserve">Ethereum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 надоградњом </w:t>
      </w:r>
      <w:r>
        <w:rPr>
          <w:rFonts w:ascii="Times New Roman" w:hAnsi="Times New Roman" w:cs="Times New Roman"/>
          <w:i/>
          <w:iCs/>
          <w:szCs w:val="20"/>
          <w:lang w:val="en-US"/>
        </w:rPr>
        <w:t xml:space="preserve">Pectra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 [5], који омогућава да </w:t>
      </w:r>
      <w:r>
        <w:rPr>
          <w:rFonts w:ascii="Times New Roman" w:hAnsi="Times New Roman" w:cs="Times New Roman"/>
          <w:i/>
          <w:iCs/>
          <w:szCs w:val="20"/>
          <w:lang w:val="en-US"/>
        </w:rPr>
        <w:t xml:space="preserve">EOA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 привремено изврши код паметног уговора у оквиру једне трансакције. Систем ј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е реализован као екстензија за </w:t>
      </w:r>
      <w:r>
        <w:rPr>
          <w:rFonts w:ascii="Times New Roman" w:hAnsi="Times New Roman" w:cs="Times New Roman"/>
          <w:i/>
          <w:iCs/>
          <w:szCs w:val="20"/>
          <w:lang w:val="en-US"/>
        </w:rPr>
        <w:t xml:space="preserve">Chromium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-базир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ане претраживаче и тестиран на </w:t>
      </w:r>
      <w:r>
        <w:rPr>
          <w:rFonts w:ascii="Times New Roman" w:hAnsi="Times New Roman" w:cs="Times New Roman"/>
          <w:i/>
          <w:iCs/>
          <w:szCs w:val="20"/>
          <w:lang w:val="en-US"/>
        </w:rPr>
        <w:t xml:space="preserve">Sepolia</w:t>
      </w:r>
      <w:r>
        <w:rPr>
          <w:rFonts w:ascii="Times New Roman" w:hAnsi="Times New Roman" w:cs="Times New Roman"/>
          <w:iCs/>
          <w:szCs w:val="20"/>
          <w:lang w:val="en-US"/>
        </w:rPr>
        <w:t xml:space="preserve"> тестној мрежи.</w:t>
      </w:r>
      <w:r>
        <w:rPr>
          <w:rFonts w:ascii="Times New Roman" w:hAnsi="Times New Roman" w:cs="Times New Roman"/>
          <w:iCs/>
          <w:szCs w:val="20"/>
          <w:lang w:val="en-US"/>
        </w:rPr>
      </w:r>
    </w:p>
    <w:p>
      <w:pPr>
        <w:pStyle w:val="784"/>
        <w:pBdr/>
        <w:spacing/>
        <w:ind/>
        <w:rPr/>
      </w:pPr>
      <w:r>
        <w:t xml:space="preserve">ВИШЕПОТПИСНИ ПРОТОКОЛИ И </w:t>
      </w:r>
      <w:r>
        <w:rPr>
          <w:i/>
          <w:lang w:val="en-US"/>
        </w:rPr>
        <w:t xml:space="preserve">EIP-7702</w:t>
      </w:r>
      <w:r/>
    </w:p>
    <w:p>
      <w:pPr>
        <w:pStyle w:val="786"/>
        <w:pBdr/>
        <w:spacing/>
        <w:ind/>
        <w:rPr>
          <w:lang w:val="en-US"/>
        </w:rPr>
      </w:pPr>
      <w:r>
        <w:rPr>
          <w:i/>
        </w:rPr>
        <w:t xml:space="preserve">Ethereum</w:t>
      </w:r>
      <w:r>
        <w:t xml:space="preserve"> разликује два типа налога: </w:t>
      </w:r>
      <w:r>
        <w:rPr>
          <w:i/>
        </w:rPr>
        <w:t xml:space="preserve">EOA</w:t>
      </w:r>
      <w:r>
        <w:t xml:space="preserve">, контролисан приватним кључем</w:t>
      </w:r>
      <w:r>
        <w:t xml:space="preserve"> и налог паметног уговора, чији је код трајно записан</w:t>
      </w:r>
      <w:r>
        <w:t xml:space="preserve"> на блокчејну и извршава се на </w:t>
      </w:r>
      <w:r>
        <w:rPr>
          <w:i/>
        </w:rPr>
        <w:t xml:space="preserve">Ethereum</w:t>
      </w:r>
      <w:r>
        <w:t xml:space="preserve"> виртуелној машини [6]. Вишепотписни уговор имплементира образац </w:t>
      </w:r>
      <w:r>
        <w:rPr>
          <w:i/>
        </w:rPr>
        <w:t xml:space="preserve">M</w:t>
      </w:r>
      <w:r>
        <w:t xml:space="preserve">-од-</w:t>
      </w:r>
      <w:r>
        <w:rPr>
          <w:i/>
        </w:rPr>
        <w:t xml:space="preserve">N</w:t>
      </w:r>
      <w:r>
        <w:t xml:space="preserve"> тако што чува листу овлашћених потписника и праг потребних потписа, а свака трансакција прол</w:t>
      </w:r>
      <w:r>
        <w:t xml:space="preserve">ази кроз три фазе: предлагање (</w:t>
      </w:r>
      <w:r>
        <w:rPr>
          <w:i/>
        </w:rPr>
        <w:t xml:space="preserve">propose</w:t>
      </w:r>
      <w:r>
        <w:t xml:space="preserve">), потписивање (</w:t>
      </w:r>
      <w:r>
        <w:rPr>
          <w:i/>
        </w:rPr>
        <w:t xml:space="preserve">sign</w:t>
      </w:r>
      <w:r>
        <w:t xml:space="preserve">) и извршавање (</w:t>
      </w:r>
      <w:r>
        <w:rPr>
          <w:i/>
        </w:rPr>
        <w:t xml:space="preserve">execute</w:t>
      </w:r>
      <w:r>
        <w:t xml:space="preserve">), аналогно протоколима попут </w:t>
      </w:r>
      <w:r>
        <w:rPr>
          <w:i/>
        </w:rPr>
        <w:t xml:space="preserve">Safe</w:t>
      </w:r>
      <w:r>
        <w:t xml:space="preserve"> [7].</w:t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i/>
          <w:lang w:val="en-US"/>
        </w:rPr>
        <w:t xml:space="preserve">EIP-7702</w:t>
      </w:r>
      <w:r>
        <w:rPr>
          <w:lang w:val="en-US"/>
        </w:rPr>
        <w:t xml:space="preserve"> [4] уводи трансакцију тип</w:t>
      </w:r>
      <w:r>
        <w:rPr>
          <w:lang w:val="en-US"/>
        </w:rPr>
        <w:t xml:space="preserve">а 4 која носи листу овлашћења (</w:t>
      </w:r>
      <w:r>
        <w:rPr>
          <w:i/>
          <w:lang w:val="en-US"/>
        </w:rPr>
        <w:t xml:space="preserve">authorization_list</w:t>
      </w:r>
      <w:r>
        <w:rPr>
          <w:lang w:val="en-US"/>
        </w:rPr>
        <w:t xml:space="preserve">). Свако овлашћење садржи идентификатор мреже, ц</w:t>
      </w:r>
      <w:r>
        <w:rPr>
          <w:lang w:val="en-US"/>
        </w:rPr>
        <w:t xml:space="preserve">иљну адресу паметног уговора и </w:t>
      </w:r>
      <w:r>
        <w:rPr>
          <w:i/>
          <w:lang w:val="en-US"/>
        </w:rPr>
        <w:t xml:space="preserve">nonce</w:t>
      </w:r>
      <w:r>
        <w:rPr>
          <w:lang w:val="en-US"/>
        </w:rPr>
        <w:t xml:space="preserve"> вредност</w:t>
      </w:r>
      <w:r>
        <w:rPr>
          <w:lang w:val="en-US"/>
        </w:rPr>
        <w:t xml:space="preserve"> и потписано је приватним кључем налога који делегира извршавање. Када мрежа </w:t>
      </w:r>
      <w:r>
        <w:rPr>
          <w:lang w:val="en-US"/>
        </w:rPr>
        <w:t xml:space="preserve">прихвати овлашћење, у код слот </w:t>
      </w:r>
      <w:r>
        <w:rPr>
          <w:i/>
          <w:lang w:val="en-US"/>
        </w:rPr>
        <w:t xml:space="preserve">EOA</w:t>
      </w:r>
      <w:r>
        <w:rPr>
          <w:lang w:val="en-US"/>
        </w:rPr>
        <w:t xml:space="preserve"> налога уписује се делегацијски означивач –</w:t>
      </w:r>
      <w:r>
        <w:rPr>
          <w:lang w:val="en-US"/>
        </w:rPr>
        <w:t xml:space="preserve"> 23-бајтна вредност </w:t>
      </w:r>
      <w:r>
        <w:rPr>
          <w:i/>
          <w:lang w:val="en-US"/>
        </w:rPr>
        <w:t xml:space="preserve">0xef010</w:t>
      </w:r>
      <w:r>
        <w:rPr>
          <w:lang w:val="en-US"/>
        </w:rPr>
        <w:t xml:space="preserve"> надовезана 20-бајтно</w:t>
      </w:r>
      <w:r>
        <w:rPr>
          <w:lang w:val="en-US"/>
        </w:rPr>
        <w:t xml:space="preserve">м адресом циљног уговора. Бајт </w:t>
      </w:r>
      <w:r>
        <w:rPr>
          <w:i/>
          <w:lang w:val="en-US"/>
        </w:rPr>
        <w:t xml:space="preserve">0xef</w:t>
      </w:r>
      <w:r>
        <w:rPr>
          <w:lang w:val="en-US"/>
        </w:rPr>
        <w:t xml:space="preserve"> </w:t>
      </w:r>
      <w:r>
        <w:rPr>
          <w:lang w:val="en-US"/>
        </w:rPr>
        <w:t xml:space="preserve">је резервисан као неважећи </w:t>
      </w:r>
      <w:r>
        <w:rPr>
          <w:i/>
          <w:lang w:val="en-US"/>
        </w:rPr>
        <w:t xml:space="preserve">EVM</w:t>
      </w:r>
      <w:r>
        <w:rPr>
          <w:lang w:val="en-US"/>
        </w:rPr>
        <w:t xml:space="preserve"> бајткод још ранијим </w:t>
      </w:r>
      <w:r>
        <w:rPr>
          <w:i/>
          <w:lang w:val="en-US"/>
        </w:rPr>
        <w:t xml:space="preserve">EIP-3541</w:t>
      </w:r>
      <w:r>
        <w:rPr>
          <w:lang w:val="en-US"/>
        </w:rPr>
        <w:t xml:space="preserve">, чиме је загарантовано да се означивач никада не може </w:t>
      </w:r>
      <w:r>
        <w:rPr>
          <w:lang w:val="en-US"/>
        </w:rPr>
        <w:t xml:space="preserve">помешати са бајткодом правог паметног уговора. Од трен</w:t>
      </w:r>
      <w:r>
        <w:rPr>
          <w:lang w:val="en-US"/>
        </w:rPr>
        <w:t xml:space="preserve">утка уписа, сваки позив ка том </w:t>
      </w:r>
      <w:r>
        <w:rPr>
          <w:i/>
          <w:lang w:val="en-US"/>
        </w:rPr>
        <w:t xml:space="preserve">EOA</w:t>
      </w:r>
      <w:r>
        <w:rPr>
          <w:lang w:val="en-US"/>
        </w:rPr>
        <w:t xml:space="preserve"> налогу извршава код циљног уговора у ко</w:t>
      </w:r>
      <w:r>
        <w:rPr>
          <w:lang w:val="en-US"/>
        </w:rPr>
        <w:t xml:space="preserve">нтексту налога – </w:t>
      </w:r>
      <w:r>
        <w:rPr>
          <w:i/>
          <w:lang w:val="en-US"/>
        </w:rPr>
        <w:t xml:space="preserve">address(this)</w:t>
      </w:r>
      <w:r>
        <w:rPr>
          <w:lang w:val="en-US"/>
        </w:rPr>
        <w:t xml:space="preserve"> ун</w:t>
      </w:r>
      <w:r>
        <w:rPr>
          <w:lang w:val="en-US"/>
        </w:rPr>
        <w:t xml:space="preserve">утар тог кода враћа адресу </w:t>
      </w:r>
      <w:r>
        <w:rPr>
          <w:i/>
          <w:lang w:val="en-US"/>
        </w:rPr>
        <w:t xml:space="preserve">EOA</w:t>
      </w:r>
      <w:r>
        <w:rPr>
          <w:lang w:val="en-US"/>
        </w:rPr>
        <w:t xml:space="preserve">-а, а не циљног уговора – све док се делегација експлицитно не опозове слањем овлашћења са нултом адресом. За разлику од потпуне апстракције </w:t>
      </w:r>
      <w:r>
        <w:rPr>
          <w:lang w:val="en-US"/>
        </w:rPr>
        <w:t xml:space="preserve">налога какву предлаже </w:t>
      </w:r>
      <w:r>
        <w:rPr>
          <w:i/>
          <w:lang w:val="en-US"/>
        </w:rPr>
        <w:t xml:space="preserve">EIP-4337</w:t>
      </w:r>
      <w:r>
        <w:rPr>
          <w:lang w:val="en-US"/>
        </w:rPr>
        <w:t xml:space="preserve"> [8], </w:t>
      </w:r>
      <w:r>
        <w:rPr>
          <w:i/>
          <w:lang w:val="en-US"/>
        </w:rPr>
        <w:t xml:space="preserve">EIP-7702</w:t>
      </w:r>
      <w:r>
        <w:rPr>
          <w:lang w:val="en-US"/>
        </w:rPr>
        <w:t xml:space="preserve"> не захтева трајну промену ти</w:t>
      </w:r>
      <w:r>
        <w:rPr>
          <w:lang w:val="en-US"/>
        </w:rPr>
        <w:t xml:space="preserve">па налога, па налог остаје </w:t>
      </w:r>
      <w:r>
        <w:rPr>
          <w:i/>
          <w:lang w:val="en-US"/>
        </w:rPr>
        <w:t xml:space="preserve">EOA</w:t>
      </w:r>
      <w:r>
        <w:rPr>
          <w:lang w:val="en-US"/>
        </w:rPr>
        <w:t xml:space="preserve"> пре, током и после делегације.</w:t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  <w:t xml:space="preserve">Практична употреба овог </w:t>
      </w:r>
      <w:r>
        <w:rPr>
          <w:lang w:val="en-US"/>
        </w:rPr>
        <w:t xml:space="preserve">механизма за депоновање </w:t>
      </w:r>
      <w:r>
        <w:rPr>
          <w:i/>
          <w:lang w:val="en-US"/>
        </w:rPr>
        <w:t xml:space="preserve">ERC-20</w:t>
      </w:r>
      <w:r>
        <w:rPr>
          <w:lang w:val="en-US"/>
        </w:rPr>
        <w:t xml:space="preserve"> токена одвија се у три фазе. У првој фази корисник једном активира „паметни налог" слањем трансакције типа 4 чије </w:t>
      </w:r>
      <w:r>
        <w:rPr>
          <w:lang w:val="en-US"/>
        </w:rPr>
        <w:t xml:space="preserve">овлашћење показује на </w:t>
      </w:r>
      <w:r>
        <w:rPr>
          <w:i/>
          <w:lang w:val="en-US"/>
        </w:rPr>
        <w:t xml:space="preserve">Approver</w:t>
      </w:r>
      <w:r>
        <w:rPr>
          <w:lang w:val="en-US"/>
        </w:rPr>
        <w:t xml:space="preserve"> уговор. У другој фази, свако наредно депоновање одвија се као једна </w:t>
      </w:r>
      <w:r>
        <w:rPr>
          <w:lang w:val="en-US"/>
        </w:rPr>
        <w:t xml:space="preserve">обична трансакција у којој </w:t>
      </w:r>
      <w:r>
        <w:rPr>
          <w:i/>
          <w:lang w:val="en-US"/>
        </w:rPr>
        <w:t xml:space="preserve">EVM</w:t>
      </w:r>
      <w:r>
        <w:rPr>
          <w:lang w:val="en-US"/>
        </w:rPr>
        <w:t xml:space="preserve"> атомски извршава и одобрење </w:t>
      </w:r>
      <w:r>
        <w:rPr>
          <w:lang w:val="en-US"/>
        </w:rPr>
        <w:t xml:space="preserve">и пренос средстава, јер </w:t>
      </w:r>
      <w:r>
        <w:rPr>
          <w:i/>
          <w:lang w:val="en-US"/>
        </w:rPr>
        <w:t xml:space="preserve">EOA</w:t>
      </w:r>
      <w:r>
        <w:rPr>
          <w:lang w:val="en-US"/>
        </w:rPr>
        <w:t xml:space="preserve"> већ носи код </w:t>
      </w:r>
      <w:r>
        <w:rPr>
          <w:i/>
          <w:lang w:val="en-US"/>
        </w:rPr>
        <w:t xml:space="preserve">Approver</w:t>
      </w:r>
      <w:r>
        <w:rPr>
          <w:lang w:val="en-US"/>
        </w:rPr>
        <w:t xml:space="preserve"> уговора. У трећој, опционалној фази, корисник опозива делегацију слањем још једне трансакције типа 4 чији ци</w:t>
      </w:r>
      <w:r>
        <w:rPr>
          <w:lang w:val="en-US"/>
        </w:rPr>
        <w:t xml:space="preserve">љ је нулта адреса, чиме се </w:t>
      </w:r>
      <w:r>
        <w:rPr>
          <w:i/>
          <w:lang w:val="en-US"/>
        </w:rPr>
        <w:t xml:space="preserve">EOA</w:t>
      </w:r>
      <w:r>
        <w:rPr>
          <w:lang w:val="en-US"/>
        </w:rPr>
        <w:t xml:space="preserve"> враћа у првобитно стање обичног налога без кода.</w:t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88"/>
        <w:pBdr/>
        <w:spacing/>
        <w:ind/>
        <w:rPr/>
      </w:pPr>
      <w:r>
        <w:t xml:space="preserve">Безбедносн</w:t>
      </w:r>
      <w:r>
        <w:t xml:space="preserve">а својства</w:t>
      </w:r>
      <w:r/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  <w:t xml:space="preserve"> Сва</w:t>
      </w:r>
      <w:r>
        <w:rPr>
          <w:lang w:val="en-US"/>
        </w:rPr>
        <w:t xml:space="preserve">ко овлашћење мора носити </w:t>
      </w:r>
      <w:r>
        <w:rPr>
          <w:i/>
          <w:lang w:val="en-US"/>
        </w:rPr>
        <w:t xml:space="preserve">nonce</w:t>
      </w:r>
      <w:r>
        <w:rPr>
          <w:lang w:val="en-US"/>
        </w:rPr>
        <w:t xml:space="preserve"> вредност</w:t>
      </w:r>
      <w:r>
        <w:rPr>
          <w:lang w:val="en-US"/>
        </w:rPr>
        <w:t xml:space="preserve"> која одговара тренутној </w:t>
      </w:r>
      <w:r>
        <w:rPr>
          <w:i/>
          <w:lang w:val="en-US"/>
        </w:rPr>
        <w:t xml:space="preserve">nonce</w:t>
      </w:r>
      <w:r>
        <w:rPr>
          <w:lang w:val="en-US"/>
        </w:rPr>
        <w:t xml:space="preserve"> вредности потписничког </w:t>
      </w:r>
      <w:r>
        <w:rPr>
          <w:i/>
          <w:lang w:val="en-US"/>
        </w:rPr>
        <w:t xml:space="preserve">EOA</w:t>
      </w:r>
      <w:r>
        <w:rPr>
          <w:lang w:val="en-US"/>
        </w:rPr>
        <w:t xml:space="preserve">-а, чиме се спречава напад поновном употребом потписа – једном искоришћено овлашћење не може се</w:t>
      </w:r>
      <w:r>
        <w:rPr>
          <w:lang w:val="en-US"/>
        </w:rPr>
        <w:t xml:space="preserve"> поново применити јер ће </w:t>
      </w:r>
      <w:r>
        <w:rPr>
          <w:i/>
          <w:lang w:val="en-US"/>
        </w:rPr>
        <w:t xml:space="preserve">nonce</w:t>
      </w:r>
      <w:r>
        <w:rPr>
          <w:lang w:val="en-US"/>
        </w:rPr>
        <w:t xml:space="preserve"> у међувремену бити повећан. Идентификатор мреже у овлашћењу везује де</w:t>
      </w:r>
      <w:r>
        <w:rPr>
          <w:lang w:val="en-US"/>
        </w:rPr>
        <w:t xml:space="preserve">легацију за конкретну </w:t>
      </w:r>
      <w:r>
        <w:rPr>
          <w:i/>
          <w:lang w:val="en-US"/>
        </w:rPr>
        <w:t xml:space="preserve">Ethereum</w:t>
      </w:r>
      <w:r>
        <w:rPr>
          <w:lang w:val="en-US"/>
        </w:rPr>
        <w:t xml:space="preserve"> мрежу, па </w:t>
      </w:r>
      <w:r>
        <w:rPr>
          <w:lang w:val="en-US"/>
        </w:rPr>
        <w:t xml:space="preserve">овлашћење потписано за </w:t>
      </w:r>
      <w:r>
        <w:rPr>
          <w:i/>
          <w:lang w:val="en-US"/>
        </w:rPr>
        <w:t xml:space="preserve">Sepolia</w:t>
      </w:r>
      <w:r>
        <w:rPr>
          <w:lang w:val="en-US"/>
        </w:rPr>
        <w:t xml:space="preserve"> тестну мрежу не може бити преузето и примењено на главној мрежи. Ова два механизма заје</w:t>
      </w:r>
      <w:r>
        <w:rPr>
          <w:lang w:val="en-US"/>
        </w:rPr>
        <w:t xml:space="preserve">дно осигуравају да власник </w:t>
      </w:r>
      <w:r>
        <w:rPr>
          <w:i/>
          <w:lang w:val="en-US"/>
        </w:rPr>
        <w:t xml:space="preserve">EOA</w:t>
      </w:r>
      <w:r>
        <w:rPr>
          <w:lang w:val="en-US"/>
        </w:rPr>
        <w:t xml:space="preserve">-а у сваком тренутку има пуну контролу над тиме када, где и на који уговор је активан делегацијски означивач.</w:t>
      </w:r>
      <w:r>
        <w:rPr>
          <w:lang w:val="en-US"/>
        </w:rPr>
      </w:r>
    </w:p>
    <w:p>
      <w:pPr>
        <w:pStyle w:val="788"/>
        <w:pBdr/>
        <w:spacing/>
        <w:ind/>
        <w:rPr/>
      </w:pPr>
      <w:r>
        <w:t xml:space="preserve">Историјат</w:t>
      </w:r>
      <w:r/>
    </w:p>
    <w:p>
      <w:pPr>
        <w:pStyle w:val="786"/>
        <w:pBdr/>
        <w:spacing/>
        <w:ind/>
        <w:rPr>
          <w:lang w:val="en-US"/>
        </w:rPr>
        <w:sectPr>
          <w:footnotePr/>
          <w:endnotePr/>
          <w:type w:val="continuous"/>
          <w:pgSz w:h="16838" w:orient="portrait" w:w="11906"/>
          <w:pgMar w:top="1134" w:right="1134" w:bottom="1134" w:left="1134" w:header="708" w:footer="708" w:gutter="0"/>
          <w:cols w:num="2" w:sep="0" w:space="284" w:equalWidth="1"/>
        </w:sectPr>
      </w:pPr>
      <w:r>
        <w:rPr>
          <w:i/>
          <w:lang w:val="en-US"/>
        </w:rPr>
        <w:t xml:space="preserve">EIP-7702</w:t>
      </w:r>
      <w:r>
        <w:rPr>
          <w:lang w:val="en-US"/>
        </w:rPr>
        <w:t xml:space="preserve"> није први предлог овакве функционалност</w:t>
      </w:r>
      <w:r>
        <w:rPr>
          <w:lang w:val="en-US"/>
        </w:rPr>
        <w:t xml:space="preserve">и. Претходни предлог, </w:t>
      </w:r>
      <w:r>
        <w:rPr>
          <w:i/>
          <w:lang w:val="en-US"/>
        </w:rPr>
        <w:t xml:space="preserve">EIP-3074</w:t>
      </w:r>
      <w:r>
        <w:rPr>
          <w:lang w:val="en-US"/>
        </w:rPr>
        <w:t xml:space="preserve"> [9], увео би два нова </w:t>
      </w:r>
      <w:r>
        <w:rPr>
          <w:i/>
          <w:lang w:val="en-US"/>
        </w:rPr>
        <w:t xml:space="preserve">EVM</w:t>
      </w:r>
      <w:r>
        <w:rPr>
          <w:lang w:val="en-US"/>
        </w:rPr>
        <w:t xml:space="preserve"> оп-кода, </w:t>
      </w:r>
      <w:r>
        <w:rPr>
          <w:i/>
          <w:lang w:val="en-US"/>
        </w:rPr>
        <w:t xml:space="preserve">AUTH</w:t>
      </w:r>
      <w:r>
        <w:rPr>
          <w:lang w:val="en-US"/>
        </w:rPr>
        <w:t xml:space="preserve"> и </w:t>
      </w:r>
      <w:r>
        <w:rPr>
          <w:i/>
          <w:lang w:val="en-US"/>
        </w:rPr>
        <w:t xml:space="preserve">AUTHCALL</w:t>
      </w:r>
      <w:r>
        <w:rPr>
          <w:lang w:val="en-US"/>
        </w:rPr>
        <w:t xml:space="preserve">, којима би паметан уговор мога</w:t>
      </w:r>
      <w:r>
        <w:rPr>
          <w:lang w:val="en-US"/>
        </w:rPr>
        <w:t xml:space="preserve">о да извршава позиве у име </w:t>
      </w:r>
      <w:r>
        <w:rPr>
          <w:i/>
          <w:lang w:val="en-US"/>
        </w:rPr>
        <w:t xml:space="preserve">EOA</w:t>
      </w:r>
      <w:r>
        <w:rPr>
          <w:lang w:val="en-US"/>
        </w:rPr>
        <w:t xml:space="preserve">-а који га је овластио, на сличан начин</w:t>
      </w:r>
      <w:r>
        <w:rPr>
          <w:lang w:val="en-US"/>
        </w:rPr>
        <w:t xml:space="preserve">. Предлог је напуштен у корист </w:t>
      </w:r>
      <w:r>
        <w:rPr>
          <w:i/>
          <w:lang w:val="en-US"/>
        </w:rPr>
        <w:t xml:space="preserve">EIP-7702</w:t>
      </w:r>
      <w:r>
        <w:rPr>
          <w:lang w:val="en-US"/>
        </w:rPr>
        <w:t xml:space="preserve">, првенствено зато што увођење потпуно нових оп-ко</w:t>
      </w:r>
      <w:r>
        <w:rPr>
          <w:lang w:val="en-US"/>
        </w:rPr>
        <w:t xml:space="preserve">дова захтева трајне измене </w:t>
      </w:r>
      <w:r>
        <w:rPr>
          <w:i/>
          <w:lang w:val="en-US"/>
        </w:rPr>
        <w:t xml:space="preserve">EVM</w:t>
      </w:r>
      <w:r>
        <w:rPr>
          <w:lang w:val="en-US"/>
        </w:rPr>
        <w:t xml:space="preserve">-а, док </w:t>
      </w:r>
      <w:r>
        <w:rPr>
          <w:i/>
          <w:lang w:val="en-US"/>
        </w:rPr>
        <w:t xml:space="preserve">EIP-7702</w:t>
      </w:r>
      <w:r>
        <w:rPr>
          <w:lang w:val="en-US"/>
        </w:rPr>
        <w:t xml:space="preserve"> исти циљ постиже увођењем новог типа трансакције, што је једноставније за интеграцију у постојећи протокол и алатке.</w:t>
      </w:r>
      <w:r>
        <w:rPr>
          <w:lang w:val="en-US"/>
        </w:rPr>
      </w:r>
    </w:p>
    <w:p>
      <w:pPr>
        <w:pStyle w:val="754"/>
        <w:pBdr/>
        <w:spacing/>
        <w:ind/>
        <w:rPr/>
      </w:pPr>
      <w:r>
        <w:rPr>
          <w:rFonts w:eastAsia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47260" cy="4572381"/>
                <wp:effectExtent l="19050" t="19050" r="15240" b="18669"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764683" cy="4589162"/>
                        </a:xfrm>
                        <a:prstGeom prst="rect">
                          <a:avLst/>
                        </a:prstGeom>
                        <a:noFill/>
                        <a:ln w="63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3.80pt;height:360.03pt;mso-wrap-distance-left:0.00pt;mso-wrap-distance-top:0.00pt;mso-wrap-distance-right:0.00pt;mso-wrap-distance-bottom:0.00pt;z-index:1;" strokecolor="#000000" strokeweight="0.50pt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754"/>
        <w:pBdr/>
        <w:spacing/>
        <w:ind/>
        <w:rPr>
          <w:rFonts w:ascii="Times New Roman" w:hAnsi="Times New Roman" w:eastAsia="Times New Roman" w:cs="Times New Roman"/>
          <w:iCs/>
          <w:szCs w:val="20"/>
        </w:rPr>
        <w:sectPr>
          <w:footnotePr/>
          <w:endnotePr/>
          <w:type w:val="continuous"/>
          <w:pgSz w:h="16838" w:orient="portrait" w:w="11906"/>
          <w:pgMar w:top="1134" w:right="1134" w:bottom="1134" w:left="1134" w:header="708" w:footer="708" w:gutter="0"/>
          <w:cols w:num="1" w:sep="0" w:space="284" w:equalWidth="1"/>
        </w:sectPr>
      </w:pPr>
      <w:r>
        <w:t xml:space="preserve">Слика </w:t>
      </w:r>
      <w:r>
        <w:fldChar w:fldCharType="begin"/>
      </w:r>
      <w:r>
        <w:instrText xml:space="preserve"> SEQ Слика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</w:t>
      </w:r>
      <w:r>
        <w:t xml:space="preserve">Трофазни ток депоновања </w:t>
      </w:r>
      <w:r>
        <w:rPr>
          <w:i/>
          <w:lang w:val="en-US"/>
        </w:rPr>
        <w:t xml:space="preserve">ERC-20</w:t>
      </w:r>
      <w:r>
        <w:t xml:space="preserve"> токена путем </w:t>
      </w:r>
      <w:r>
        <w:rPr>
          <w:i/>
          <w:lang w:val="en-US"/>
        </w:rPr>
        <w:t xml:space="preserve">EIP-7702 </w:t>
      </w:r>
      <w:r>
        <w:t xml:space="preserve">делегације: активација </w:t>
      </w:r>
      <w:r>
        <w:t xml:space="preserve">„паметног налога”</w:t>
      </w:r>
      <w:r>
        <w:t xml:space="preserve">, атомски депозит и опционални опозив делегације</w:t>
      </w:r>
      <w:r>
        <w:rPr>
          <w:rFonts w:ascii="Times New Roman" w:hAnsi="Times New Roman" w:eastAsia="Times New Roman" w:cs="Times New Roman"/>
          <w:iCs/>
          <w:szCs w:val="20"/>
        </w:rPr>
      </w:r>
    </w:p>
    <w:p>
      <w:pPr>
        <w:pStyle w:val="784"/>
        <w:pBdr/>
        <w:spacing/>
        <w:ind/>
        <w:rPr/>
      </w:pPr>
      <w:r>
        <w:t xml:space="preserve">ПОСТОЈЕЋА РЕШЕЊА</w:t>
      </w:r>
      <w:r/>
    </w:p>
    <w:p>
      <w:pPr>
        <w:pStyle w:val="786"/>
        <w:pBdr/>
        <w:spacing/>
        <w:ind/>
        <w:rPr/>
      </w:pPr>
      <w:r>
        <w:t xml:space="preserve">Више постојећих решења делимично адресира проблем безбедног управљања заједничким дигиталним средствима, али свако од њих доноси компромисе релевантне за овај рад.</w:t>
      </w:r>
      <w:r/>
    </w:p>
    <w:p>
      <w:pPr>
        <w:pStyle w:val="786"/>
        <w:pBdr/>
        <w:spacing/>
        <w:ind/>
        <w:rPr/>
      </w:pPr>
      <w:r>
        <w:rPr>
          <w:i/>
        </w:rPr>
        <w:t xml:space="preserve">Gnosis Safe</w:t>
      </w:r>
      <w:r>
        <w:t xml:space="preserve"> [7, 10] је најзаступљенији виш</w:t>
      </w:r>
      <w:r>
        <w:t xml:space="preserve">епотписни новчаник на </w:t>
      </w:r>
      <w:r>
        <w:rPr>
          <w:i/>
        </w:rPr>
        <w:t xml:space="preserve">Ethereum</w:t>
      </w:r>
      <w:r>
        <w:t xml:space="preserve"> мрежи, али је заснован искључиво на паметним уговорима: корисник објављује нови уговор који постаје власник</w:t>
      </w:r>
      <w:r>
        <w:t xml:space="preserve"> средстава, док оригинални </w:t>
      </w:r>
      <w:r>
        <w:rPr>
          <w:i/>
        </w:rPr>
        <w:t xml:space="preserve">EOA</w:t>
      </w:r>
      <w:r>
        <w:t xml:space="preserve"> губи улогу примарне адресе. Ово подразуме</w:t>
      </w:r>
      <w:r>
        <w:t xml:space="preserve">ва миграцију имовине и губитак </w:t>
      </w:r>
      <w:r>
        <w:rPr>
          <w:i/>
        </w:rPr>
        <w:t xml:space="preserve">EOA</w:t>
      </w:r>
      <w:r>
        <w:t xml:space="preserve"> идентитета.</w:t>
      </w:r>
      <w:r/>
    </w:p>
    <w:p>
      <w:pPr>
        <w:pStyle w:val="786"/>
        <w:pBdr/>
        <w:spacing/>
        <w:ind/>
        <w:rPr/>
      </w:pPr>
      <w:r>
        <w:rPr>
          <w:i/>
        </w:rPr>
        <w:t xml:space="preserve">EIP-4337</w:t>
      </w:r>
      <w:r>
        <w:t xml:space="preserve"> [8] уводи апстракцију налога путем алтерн</w:t>
      </w:r>
      <w:r>
        <w:t xml:space="preserve">ативног </w:t>
      </w:r>
      <w:r>
        <w:rPr>
          <w:i/>
        </w:rPr>
        <w:t xml:space="preserve">mempool</w:t>
      </w:r>
      <w:r>
        <w:t xml:space="preserve">-а и </w:t>
      </w:r>
      <w:r>
        <w:rPr>
          <w:i/>
        </w:rPr>
        <w:t xml:space="preserve">bundler</w:t>
      </w:r>
      <w:r>
        <w:t xml:space="preserve"> чворова који групишу корисничке операције. Овим механизмом могуће је имплементирати вишепотписне шеме, </w:t>
      </w:r>
      <w:r>
        <w:t xml:space="preserve">али и он захтева напуштање </w:t>
      </w:r>
      <w:r>
        <w:rPr>
          <w:i/>
        </w:rPr>
        <w:t xml:space="preserve">EOA</w:t>
      </w:r>
      <w:r>
        <w:t xml:space="preserve"> модела и зависност од инфраструктуре</w:t>
      </w:r>
      <w:r>
        <w:t xml:space="preserve"> која није део језгра </w:t>
      </w:r>
      <w:r>
        <w:rPr>
          <w:i/>
        </w:rPr>
        <w:t xml:space="preserve">Ethereum</w:t>
      </w:r>
      <w:r>
        <w:t xml:space="preserve"> протокола.</w:t>
      </w:r>
      <w:r/>
    </w:p>
    <w:p>
      <w:pPr>
        <w:pStyle w:val="786"/>
        <w:pBdr/>
        <w:spacing/>
        <w:ind/>
        <w:rPr/>
      </w:pPr>
      <w:r>
        <w:rPr>
          <w:i/>
        </w:rPr>
        <w:t xml:space="preserve">Permit2</w:t>
      </w:r>
      <w:r>
        <w:t xml:space="preserve"> [11], решење </w:t>
      </w:r>
      <w:r>
        <w:rPr>
          <w:i/>
        </w:rPr>
        <w:t xml:space="preserve">Uniswap</w:t>
      </w:r>
      <w:r>
        <w:t xml:space="preserve">-а [12], уместо појединачних одобрења користи једн</w:t>
      </w:r>
      <w:r>
        <w:t xml:space="preserve">о максимално одобрење ка самом </w:t>
      </w:r>
      <w:r>
        <w:rPr>
          <w:i/>
        </w:rPr>
        <w:t xml:space="preserve">Permit2</w:t>
      </w:r>
      <w:r>
        <w:t xml:space="preserve"> уговору, након чега се свако наредно одобрење потписује ван ланца. Овим се решава проблем вишеструких одобрења, али по цену безбедносног комп</w:t>
      </w:r>
      <w:r>
        <w:t xml:space="preserve">ромиса: компромитовање </w:t>
      </w:r>
      <w:r>
        <w:rPr>
          <w:i/>
        </w:rPr>
        <w:t xml:space="preserve">Permit2</w:t>
      </w:r>
      <w:r>
        <w:t xml:space="preserve"> уговора или потписивање злоћудне поруке омогућава нападачу приступ свим токенима које је корисник икада одобрио.</w:t>
      </w:r>
      <w:r/>
    </w:p>
    <w:p>
      <w:pPr>
        <w:pStyle w:val="786"/>
        <w:pBdr/>
        <w:spacing/>
        <w:ind/>
        <w:rPr/>
      </w:pPr>
      <w:r>
        <w:t xml:space="preserve">Ниједно од наведених реш</w:t>
      </w:r>
      <w:r>
        <w:t xml:space="preserve">ења не комбинује одржавање </w:t>
      </w:r>
      <w:r>
        <w:rPr>
          <w:i/>
        </w:rPr>
        <w:t xml:space="preserve">EOA</w:t>
      </w:r>
      <w:r>
        <w:t xml:space="preserve"> идентитета, </w:t>
      </w:r>
      <w:r>
        <w:rPr>
          <w:i/>
        </w:rPr>
        <w:t xml:space="preserve">M</w:t>
      </w:r>
      <w:r>
        <w:t xml:space="preserve">-од-</w:t>
      </w:r>
      <w:r>
        <w:rPr>
          <w:i/>
        </w:rPr>
        <w:t xml:space="preserve">N</w:t>
      </w:r>
      <w:r>
        <w:t xml:space="preserve"> вишепотписну ауторизацију и атомск</w:t>
      </w:r>
      <w:r>
        <w:t xml:space="preserve">и депозит </w:t>
      </w:r>
      <w:r>
        <w:rPr>
          <w:i/>
        </w:rPr>
        <w:t xml:space="preserve">ERC-20</w:t>
      </w:r>
      <w:r>
        <w:t xml:space="preserve"> токена без трајних неограничених одобрења трећим странама – управо ту празнину попуњава решење развијено у овом раду. </w:t>
      </w:r>
      <w:r/>
    </w:p>
    <w:p>
      <w:pPr>
        <w:pStyle w:val="784"/>
        <w:pBdr/>
        <w:spacing/>
        <w:ind/>
        <w:rPr/>
      </w:pPr>
      <w:r>
        <w:t xml:space="preserve">ИМПЛЕМЕНТАЦИЈА</w:t>
      </w:r>
      <w:r/>
    </w:p>
    <w:p>
      <w:pPr>
        <w:pStyle w:val="786"/>
        <w:pBdr/>
        <w:spacing/>
        <w:ind/>
        <w:rPr/>
      </w:pPr>
      <w:r>
        <w:t xml:space="preserve">Систем се састоји од дв</w:t>
      </w:r>
      <w:r>
        <w:t xml:space="preserve">а паметна уговора и клијентске </w:t>
      </w:r>
      <w:r>
        <w:rPr>
          <w:i/>
        </w:rPr>
        <w:t xml:space="preserve">React</w:t>
      </w:r>
      <w:r>
        <w:t xml:space="preserve"> екстензи</w:t>
      </w:r>
      <w:r>
        <w:t xml:space="preserve">је која комуницира са </w:t>
      </w:r>
      <w:r>
        <w:rPr>
          <w:i/>
        </w:rPr>
        <w:t xml:space="preserve">Ethereum</w:t>
      </w:r>
      <w:r>
        <w:t xml:space="preserve"> мрежом путем </w:t>
      </w:r>
      <w:r>
        <w:rPr>
          <w:i/>
        </w:rPr>
        <w:t xml:space="preserve">ethers.js</w:t>
      </w:r>
      <w:r>
        <w:t xml:space="preserve"> библиотеке [13], без посредног серверског залеђа – екстензија комуни</w:t>
      </w:r>
      <w:r>
        <w:t xml:space="preserve">цира искључиво директно са </w:t>
      </w:r>
      <w:r>
        <w:rPr>
          <w:i/>
        </w:rPr>
        <w:t xml:space="preserve">RPC</w:t>
      </w:r>
      <w:r>
        <w:t xml:space="preserve"> чвором мреже. Дељена пословна логика (вишеп</w:t>
      </w:r>
      <w:r>
        <w:t xml:space="preserve">отписна ауторизација, </w:t>
      </w:r>
      <w:r>
        <w:rPr>
          <w:i/>
        </w:rPr>
        <w:t xml:space="preserve">EIP-7702</w:t>
      </w:r>
      <w:r>
        <w:t xml:space="preserve"> делегација) у потпуности се налази у паметним уговорима, док клијентска страна само конструише, потписује и шаље трансакције, као и очитава стање уговора.</w:t>
      </w:r>
      <w:r/>
    </w:p>
    <w:p>
      <w:pPr>
        <w:pStyle w:val="786"/>
        <w:pBdr/>
        <w:spacing/>
        <w:ind/>
        <w:rPr>
          <w:lang w:val="en-US"/>
        </w:rPr>
      </w:pPr>
      <w:r>
        <w:t xml:space="preserve">Уговор </w:t>
      </w:r>
      <w:r>
        <w:rPr>
          <w:i/>
        </w:rPr>
        <w:t xml:space="preserve">MultiSig</w:t>
      </w:r>
      <w:r>
        <w:t xml:space="preserve"> чува мапирање овлашћених п</w:t>
      </w:r>
      <w:r>
        <w:t xml:space="preserve">отписника и праг </w:t>
      </w:r>
      <w:r>
        <w:rPr>
          <w:i/>
        </w:rPr>
        <w:t xml:space="preserve">minSignatures</w:t>
      </w:r>
      <w:r>
        <w:t xml:space="preserve">. Предлог трансакц</w:t>
      </w:r>
      <w:r>
        <w:t xml:space="preserve">ије идентификован је вредношћу </w:t>
      </w:r>
      <w:r>
        <w:rPr>
          <w:i/>
        </w:rPr>
        <w:t xml:space="preserve">txHash = keccak256(posiljalac, nonce++)</w:t>
      </w:r>
      <w:r>
        <w:t xml:space="preserve">, намерно независном од садржаја саме трансакције, како би се избегле колизије између истоветних</w:t>
      </w:r>
      <w:r>
        <w:t xml:space="preserve"> узастопних предлога. Функција </w:t>
      </w:r>
      <w:r>
        <w:rPr>
          <w:i/>
        </w:rPr>
        <w:t xml:space="preserve">execute</w:t>
      </w:r>
      <w:r>
        <w:t xml:space="preserve"> преноси средства тек када број потписа достигне праг и уговор располаже довољним износом.</w:t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  <w:t xml:space="preserve">Уговор </w:t>
      </w:r>
      <w:r>
        <w:rPr>
          <w:i/>
          <w:lang w:val="en-US"/>
        </w:rPr>
        <w:t xml:space="preserve">Approver</w:t>
      </w:r>
      <w:r>
        <w:rPr>
          <w:lang w:val="en-US"/>
        </w:rPr>
        <w:t xml:space="preserve"> имплемент</w:t>
      </w:r>
      <w:r>
        <w:rPr>
          <w:lang w:val="en-US"/>
        </w:rPr>
        <w:t xml:space="preserve">ира функцију </w:t>
      </w:r>
      <w:r>
        <w:rPr>
          <w:i/>
          <w:lang w:val="en-US"/>
        </w:rPr>
        <w:t xml:space="preserve">approveAndDeposit</w:t>
      </w:r>
      <w:r>
        <w:rPr>
          <w:lang w:val="en-US"/>
        </w:rPr>
        <w:t xml:space="preserve">, која редом позива </w:t>
      </w:r>
      <w:r>
        <w:rPr>
          <w:i/>
          <w:lang w:val="en-US"/>
        </w:rPr>
        <w:t xml:space="preserve">approve()</w:t>
      </w:r>
      <w:r>
        <w:rPr>
          <w:lang w:val="en-US"/>
        </w:rPr>
        <w:t xml:space="preserve"> над </w:t>
      </w:r>
      <w:r>
        <w:rPr>
          <w:i/>
          <w:lang w:val="en-US"/>
        </w:rPr>
        <w:t xml:space="preserve">ERC-20</w:t>
      </w:r>
      <w:r>
        <w:rPr>
          <w:lang w:val="en-US"/>
        </w:rPr>
        <w:t xml:space="preserve"> токеном и </w:t>
      </w:r>
      <w:r>
        <w:rPr>
          <w:i/>
          <w:lang w:val="en-US"/>
        </w:rPr>
        <w:t xml:space="preserve">depositToken()</w:t>
      </w:r>
      <w:r>
        <w:rPr>
          <w:lang w:val="en-US"/>
        </w:rPr>
        <w:t xml:space="preserve"> над </w:t>
      </w:r>
      <w:r>
        <w:rPr>
          <w:i/>
          <w:lang w:val="en-US"/>
        </w:rPr>
        <w:t xml:space="preserve">MultiSig</w:t>
      </w:r>
      <w:r>
        <w:rPr>
          <w:lang w:val="en-US"/>
        </w:rPr>
        <w:t xml:space="preserve"> уговором. Када је налог корисника делегиран</w:t>
      </w:r>
      <w:r>
        <w:rPr>
          <w:lang w:val="en-US"/>
        </w:rPr>
        <w:t xml:space="preserve"> на овај уговор путем </w:t>
      </w:r>
      <w:r>
        <w:rPr>
          <w:i/>
          <w:lang w:val="en-US"/>
        </w:rPr>
        <w:t xml:space="preserve">EIP-7702</w:t>
      </w:r>
      <w:r>
        <w:rPr>
          <w:lang w:val="en-US"/>
        </w:rPr>
        <w:t xml:space="preserve">, позив </w:t>
      </w:r>
      <w:r>
        <w:rPr>
          <w:i/>
          <w:lang w:val="en-US"/>
        </w:rPr>
        <w:t xml:space="preserve">approveAndDeposit</w:t>
      </w:r>
      <w:r>
        <w:rPr>
          <w:lang w:val="en-US"/>
        </w:rPr>
        <w:t xml:space="preserve"> на </w:t>
      </w:r>
      <w:r>
        <w:rPr>
          <w:lang w:val="en-US"/>
        </w:rPr>
        <w:t xml:space="preserve">сопствену адресу извршава обе операције у оквиру једне тра</w:t>
      </w:r>
      <w:r>
        <w:rPr>
          <w:lang w:val="en-US"/>
        </w:rPr>
        <w:t xml:space="preserve">нсакције, јер се </w:t>
      </w:r>
      <w:r>
        <w:rPr>
          <w:i/>
          <w:lang w:val="en-US"/>
        </w:rPr>
        <w:t xml:space="preserve">address(this)</w:t>
      </w:r>
      <w:r>
        <w:rPr>
          <w:lang w:val="en-US"/>
        </w:rPr>
        <w:t xml:space="preserve"> унутар делегираног кода</w:t>
      </w:r>
      <w:r>
        <w:rPr>
          <w:lang w:val="en-US"/>
        </w:rPr>
        <w:t xml:space="preserve"> разрешава на адресу самог </w:t>
      </w:r>
      <w:r>
        <w:rPr>
          <w:i/>
          <w:lang w:val="en-US"/>
        </w:rPr>
        <w:t xml:space="preserve">EOA</w:t>
      </w:r>
      <w:r>
        <w:rPr>
          <w:lang w:val="en-US"/>
        </w:rPr>
        <w:t xml:space="preserve"> налога, а не на</w:t>
      </w:r>
      <w:r>
        <w:rPr>
          <w:lang w:val="en-US"/>
        </w:rPr>
        <w:t xml:space="preserve"> адресу уговора  </w:t>
      </w:r>
      <w:r>
        <w:rPr>
          <w:i/>
          <w:lang w:val="en-US"/>
        </w:rPr>
        <w:t xml:space="preserve">Approver</w:t>
      </w:r>
      <w:r>
        <w:rPr>
          <w:lang w:val="en-US"/>
        </w:rPr>
        <w:t xml:space="preserve">.</w:t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  <w:t xml:space="preserve">Клијентска страна конструише и потписује тран</w:t>
      </w:r>
      <w:r>
        <w:rPr>
          <w:lang w:val="en-US"/>
        </w:rPr>
        <w:t xml:space="preserve">сакцију типа 4 преко </w:t>
      </w:r>
      <w:r>
        <w:rPr>
          <w:i/>
          <w:lang w:val="en-US"/>
        </w:rPr>
        <w:t xml:space="preserve">ethers.js</w:t>
      </w:r>
      <w:r>
        <w:rPr>
          <w:lang w:val="en-US"/>
        </w:rPr>
        <w:t xml:space="preserve"> библиотеке [13] позивом </w:t>
      </w:r>
      <w:r>
        <w:rPr>
          <w:i/>
          <w:lang w:val="en-US"/>
        </w:rPr>
        <w:t xml:space="preserve">signer.authorize({address, nonce})</w:t>
      </w:r>
      <w:r>
        <w:rPr>
          <w:lang w:val="en-US"/>
        </w:rPr>
        <w:t xml:space="preserve">, који гради и потписује овлашћење, након чега с</w:t>
      </w:r>
      <w:r>
        <w:rPr>
          <w:lang w:val="en-US"/>
        </w:rPr>
        <w:t xml:space="preserve">е шаље као самопозив – поље </w:t>
      </w:r>
      <w:r>
        <w:rPr>
          <w:i/>
          <w:lang w:val="en-US"/>
        </w:rPr>
        <w:t xml:space="preserve">to</w:t>
      </w:r>
      <w:r>
        <w:rPr>
          <w:lang w:val="en-US"/>
        </w:rPr>
        <w:t xml:space="preserve"> трансакције једнако је сопственој адреси пошиља</w:t>
      </w:r>
      <w:r>
        <w:rPr>
          <w:lang w:val="en-US"/>
        </w:rPr>
        <w:t xml:space="preserve">оца, јер се </w:t>
      </w:r>
      <w:r>
        <w:rPr>
          <w:i/>
          <w:lang w:val="en-US"/>
        </w:rPr>
        <w:t xml:space="preserve">authorization_list</w:t>
      </w:r>
      <w:r>
        <w:rPr>
          <w:lang w:val="en-US"/>
        </w:rPr>
        <w:t xml:space="preserve"> обрађује независно од одредишта трансакције. Најосетљивији део</w:t>
      </w:r>
      <w:r>
        <w:rPr>
          <w:lang w:val="en-US"/>
        </w:rPr>
        <w:t xml:space="preserve"> имплементације је тачна </w:t>
      </w:r>
      <w:r>
        <w:rPr>
          <w:i/>
          <w:lang w:val="en-US"/>
        </w:rPr>
        <w:t xml:space="preserve">nonce</w:t>
      </w:r>
      <w:r>
        <w:rPr>
          <w:lang w:val="en-US"/>
        </w:rPr>
        <w:t xml:space="preserve"> вредност овлашћења: протокол прихвата овлашћење само ако</w:t>
      </w:r>
      <w:r>
        <w:rPr>
          <w:lang w:val="en-US"/>
        </w:rPr>
        <w:t xml:space="preserve"> се поклапа са тренутном </w:t>
      </w:r>
      <w:r>
        <w:rPr>
          <w:i/>
          <w:lang w:val="en-US"/>
        </w:rPr>
        <w:t xml:space="preserve">nonce</w:t>
      </w:r>
      <w:r>
        <w:rPr>
          <w:lang w:val="en-US"/>
        </w:rPr>
        <w:t xml:space="preserve"> вредношћу потписника у тренутку обраде, а та обрада се извршава тек пошто је слање саме </w:t>
      </w:r>
      <w:r>
        <w:rPr>
          <w:lang w:val="en-US"/>
        </w:rPr>
        <w:t xml:space="preserve">трансакције већ повећало </w:t>
      </w:r>
      <w:r>
        <w:rPr>
          <w:i/>
          <w:lang w:val="en-US"/>
        </w:rPr>
        <w:t xml:space="preserve">nonce</w:t>
      </w:r>
      <w:r>
        <w:rPr>
          <w:lang w:val="en-US"/>
        </w:rPr>
        <w:t xml:space="preserve"> пошиљаоца за један. Када су пошиљалац трансакције и потписник овлашћења иста адреса, као у овом самопослатом обрасцу, овлашћење мора нос</w:t>
      </w:r>
      <w:r>
        <w:rPr>
          <w:lang w:val="en-US"/>
        </w:rPr>
        <w:t xml:space="preserve">ити вредност </w:t>
      </w:r>
      <w:r>
        <w:rPr>
          <w:i/>
          <w:lang w:val="en-US"/>
        </w:rPr>
        <w:t xml:space="preserve">tekuci_nonce + 1</w:t>
      </w:r>
      <w:r>
        <w:rPr>
          <w:lang w:val="en-US"/>
        </w:rPr>
        <w:t xml:space="preserve">, а не </w:t>
      </w:r>
      <w:r>
        <w:rPr>
          <w:i/>
          <w:lang w:val="en-US"/>
        </w:rPr>
        <w:t xml:space="preserve">tekuci_nonce</w:t>
      </w:r>
      <w:r>
        <w:rPr>
          <w:lang w:val="en-US"/>
        </w:rPr>
        <w:t xml:space="preserve"> прочитан непосредно пре слања. Стварна тра</w:t>
      </w:r>
      <w:r>
        <w:rPr>
          <w:lang w:val="en-US"/>
        </w:rPr>
        <w:t xml:space="preserve">нсакција забележена на </w:t>
      </w:r>
      <w:r>
        <w:rPr>
          <w:i/>
          <w:lang w:val="en-US"/>
        </w:rPr>
        <w:t xml:space="preserve">Sepolia</w:t>
      </w:r>
      <w:r>
        <w:rPr>
          <w:lang w:val="en-US"/>
        </w:rPr>
        <w:t xml:space="preserve"> мрежи ово потвр</w:t>
      </w:r>
      <w:r>
        <w:rPr>
          <w:lang w:val="en-US"/>
        </w:rPr>
        <w:t xml:space="preserve">ђује: трансакција носи </w:t>
      </w:r>
      <w:r>
        <w:rPr>
          <w:i/>
          <w:lang w:val="en-US"/>
        </w:rPr>
        <w:t xml:space="preserve">nonce=2</w:t>
      </w:r>
      <w:r>
        <w:rPr>
          <w:lang w:val="en-US"/>
        </w:rPr>
        <w:t xml:space="preserve">, док потписано овлашћење унутар ње носи в</w:t>
      </w:r>
      <w:r>
        <w:rPr>
          <w:lang w:val="en-US"/>
        </w:rPr>
        <w:t xml:space="preserve">редност 3, уз </w:t>
      </w:r>
      <w:r>
        <w:rPr>
          <w:i/>
          <w:lang w:val="en-US"/>
        </w:rPr>
        <w:t xml:space="preserve">chainId=0xaa36a7</w:t>
      </w:r>
      <w:r>
        <w:rPr>
          <w:lang w:val="en-US"/>
        </w:rPr>
        <w:t xml:space="preserve"> (</w:t>
      </w:r>
      <w:r>
        <w:rPr>
          <w:i/>
          <w:lang w:val="en-US"/>
        </w:rPr>
        <w:t xml:space="preserve">Sepolia</w:t>
      </w:r>
      <w:r>
        <w:rPr>
          <w:lang w:val="en-US"/>
        </w:rPr>
        <w:t xml:space="preserve">). Након потврђивања, очит</w:t>
      </w:r>
      <w:r>
        <w:rPr>
          <w:lang w:val="en-US"/>
        </w:rPr>
        <w:t xml:space="preserve">авање кода налога (</w:t>
      </w:r>
      <w:r>
        <w:rPr>
          <w:i/>
          <w:lang w:val="en-US"/>
        </w:rPr>
        <w:t xml:space="preserve">eth_getCode</w:t>
      </w:r>
      <w:r>
        <w:rPr>
          <w:lang w:val="en-US"/>
        </w:rPr>
        <w:t xml:space="preserve">) враћа тачно </w:t>
      </w:r>
      <w:r>
        <w:rPr>
          <w:i/>
          <w:lang w:val="en-US"/>
        </w:rPr>
        <w:t xml:space="preserve">0xef0100</w:t>
      </w:r>
      <w:r>
        <w:rPr>
          <w:lang w:val="en-US"/>
        </w:rPr>
        <w:t xml:space="preserve"> надовезано адресом </w:t>
      </w:r>
      <w:r>
        <w:rPr>
          <w:i/>
          <w:lang w:val="en-US"/>
        </w:rPr>
        <w:t xml:space="preserve">Approver</w:t>
      </w:r>
      <w:r>
        <w:rPr>
          <w:lang w:val="en-US"/>
        </w:rPr>
        <w:t xml:space="preserve"> уговора, чиме је потврђено да је делегација примењена на мрежи. Опозив делегације користи идентичан образац, са нултом адресом као циљем овлашћења.</w:t>
      </w:r>
      <w:r>
        <w:rPr>
          <w:lang w:val="en-US"/>
        </w:rPr>
        <w:t xml:space="preserve"> </w:t>
      </w:r>
      <w:r>
        <w:rPr>
          <w:lang w:val="en-US"/>
        </w:rPr>
      </w:r>
    </w:p>
    <w:p>
      <w:pPr>
        <w:pStyle w:val="786"/>
        <w:pBdr/>
        <w:spacing/>
        <w:ind/>
        <w:rPr>
          <w:lang w:val="en-US"/>
        </w:rPr>
      </w:pPr>
      <w:r>
        <w:rPr>
          <w:lang w:val="en-US"/>
        </w:rPr>
        <w:t xml:space="preserve">Клијентски слој излаже два одвојена позива за депоновање токена, тако да корисник мо</w:t>
      </w:r>
      <w:r>
        <w:rPr>
          <w:lang w:val="en-US"/>
        </w:rPr>
        <w:t xml:space="preserve">же бирати између њих. Функција </w:t>
      </w:r>
      <w:r>
        <w:rPr>
          <w:i/>
          <w:lang w:val="en-US"/>
        </w:rPr>
        <w:t xml:space="preserve">depositTokenWithDelegation</w:t>
      </w:r>
      <w:r>
        <w:rPr>
          <w:lang w:val="en-US"/>
        </w:rPr>
        <w:t xml:space="preserve"> претпоставља да је делегација већ акти</w:t>
      </w:r>
      <w:r>
        <w:rPr>
          <w:lang w:val="en-US"/>
        </w:rPr>
        <w:t xml:space="preserve">вна и позива </w:t>
      </w:r>
      <w:r>
        <w:rPr>
          <w:i/>
          <w:lang w:val="en-US"/>
        </w:rPr>
        <w:t xml:space="preserve">approveAndDeposit</w:t>
      </w:r>
      <w:r>
        <w:rPr>
          <w:lang w:val="en-US"/>
        </w:rPr>
        <w:t xml:space="preserve"> на сопствену адресу, чиме се цео депозит обавља једном трансакцијом. Насупрот томе, па</w:t>
      </w:r>
      <w:r>
        <w:rPr>
          <w:lang w:val="en-US"/>
        </w:rPr>
        <w:t xml:space="preserve">р функција </w:t>
      </w:r>
      <w:r>
        <w:rPr>
          <w:i/>
          <w:lang w:val="en-US"/>
        </w:rPr>
        <w:t xml:space="preserve">approveTokenClassic</w:t>
      </w:r>
      <w:r>
        <w:rPr>
          <w:lang w:val="en-US"/>
        </w:rPr>
        <w:t xml:space="preserve"> и </w:t>
      </w:r>
      <w:r>
        <w:rPr>
          <w:i/>
          <w:lang w:val="en-US"/>
        </w:rPr>
        <w:t xml:space="preserve">depositTokenClassic</w:t>
      </w:r>
      <w:r>
        <w:rPr>
          <w:lang w:val="en-US"/>
        </w:rPr>
        <w:t xml:space="preserve"> репродукује класичан двотрансакцијс</w:t>
      </w:r>
      <w:r>
        <w:rPr>
          <w:lang w:val="en-US"/>
        </w:rPr>
        <w:t xml:space="preserve">ки ток – прва позива </w:t>
      </w:r>
      <w:r>
        <w:rPr>
          <w:i/>
          <w:lang w:val="en-US"/>
        </w:rPr>
        <w:t xml:space="preserve">approve()</w:t>
      </w:r>
      <w:r>
        <w:rPr>
          <w:lang w:val="en-US"/>
        </w:rPr>
        <w:t xml:space="preserve"> директно на токен уговору, а друга</w:t>
      </w:r>
      <w:r>
        <w:rPr>
          <w:lang w:val="en-US"/>
        </w:rPr>
        <w:t xml:space="preserve"> тек након тога </w:t>
      </w:r>
      <w:r>
        <w:rPr>
          <w:i/>
          <w:lang w:val="en-US"/>
        </w:rPr>
        <w:t xml:space="preserve">depositToken()</w:t>
      </w:r>
      <w:r>
        <w:rPr>
          <w:lang w:val="en-US"/>
        </w:rPr>
        <w:t xml:space="preserve"> на </w:t>
      </w:r>
      <w:r>
        <w:rPr>
          <w:i/>
          <w:lang w:val="en-US"/>
        </w:rPr>
        <w:t xml:space="preserve">MultiSig</w:t>
      </w:r>
      <w:r>
        <w:rPr>
          <w:lang w:val="en-US"/>
        </w:rPr>
        <w:t xml:space="preserve"> уговору. Ова два пута у коду су оно што омогућава директно мерење разлике у потрошњи гаса приказано у наредном поглављу, јер оба пута завршавају </w:t>
      </w:r>
      <w:r>
        <w:rPr>
          <w:lang w:val="en-US"/>
        </w:rPr>
        <w:t xml:space="preserve">у истом крајњем стању </w:t>
      </w:r>
      <w:r>
        <w:rPr>
          <w:i/>
          <w:lang w:val="en-US"/>
        </w:rPr>
        <w:t xml:space="preserve">MultiSig</w:t>
      </w:r>
      <w:r>
        <w:rPr>
          <w:lang w:val="en-US"/>
        </w:rPr>
        <w:t xml:space="preserve"> уговора.</w:t>
      </w:r>
      <w:r>
        <w:rPr>
          <w:lang w:val="en-US"/>
        </w:rPr>
      </w:r>
    </w:p>
    <w:p>
      <w:pPr>
        <w:pStyle w:val="784"/>
        <w:pBdr/>
        <w:spacing/>
        <w:ind/>
        <w:rPr/>
      </w:pPr>
      <w:r>
        <w:t xml:space="preserve">ДЕМОНСТРАЦИЈА И РЕЗУЛТАТИ</w:t>
      </w:r>
      <w:r/>
    </w:p>
    <w:p>
      <w:pPr>
        <w:pStyle w:val="786"/>
        <w:pBdr/>
        <w:spacing/>
        <w:ind/>
        <w:rPr/>
      </w:pPr>
      <w:r>
        <w:t xml:space="preserve">Функционалност система потврђена је сценариом са три овлашћена пот</w:t>
      </w:r>
      <w:r>
        <w:t xml:space="preserve">писника и прагом 2</w:t>
      </w:r>
      <w:r>
        <w:t xml:space="preserve"> </w:t>
      </w:r>
      <w:r>
        <w:t xml:space="preserve">од</w:t>
      </w:r>
      <w:r>
        <w:t xml:space="preserve"> </w:t>
      </w:r>
      <w:r>
        <w:t xml:space="preserve">3, извршеним на </w:t>
      </w:r>
      <w:r>
        <w:rPr>
          <w:i/>
        </w:rPr>
        <w:t xml:space="preserve">Sepolia</w:t>
      </w:r>
      <w:r>
        <w:t xml:space="preserve"> тест мрежи на</w:t>
      </w:r>
      <w:r>
        <w:t xml:space="preserve">д наменски објављеним </w:t>
      </w:r>
      <w:r>
        <w:rPr>
          <w:i/>
        </w:rPr>
        <w:t xml:space="preserve">MultiSig</w:t>
      </w:r>
      <w:r>
        <w:t xml:space="preserve"> уговором и помоћним </w:t>
      </w:r>
      <w:r>
        <w:rPr>
          <w:i/>
        </w:rPr>
        <w:t xml:space="preserve">ERC-20</w:t>
      </w:r>
      <w:r>
        <w:t xml:space="preserve"> токеном. Први корисник предлаже и потписује пренос 50 токена другом кориснику, други корисник додаје други потпис, након чега оба корисника депонују потребна средства – сваки користећи сопствени </w:t>
      </w:r>
      <w:r>
        <w:t xml:space="preserve">ток, са и без активне </w:t>
      </w:r>
      <w:r>
        <w:rPr>
          <w:i/>
        </w:rPr>
        <w:t xml:space="preserve">EIP-7702</w:t>
      </w:r>
      <w:r>
        <w:t xml:space="preserve"> делегације.</w:t>
      </w:r>
      <w:r/>
    </w:p>
    <w:p>
      <w:pPr>
        <w:pStyle w:val="786"/>
        <w:pBdr/>
        <w:spacing/>
        <w:ind/>
        <w:rPr/>
      </w:pPr>
      <w:r>
        <w:t xml:space="preserve">Обједињени приступ захтева једно потписивање уместо два и смањује потрошњу гаса за приближно 38%, уз идентичан к</w:t>
      </w:r>
      <w:r>
        <w:t xml:space="preserve">рајњи ефекат – уговор </w:t>
      </w:r>
      <w:r>
        <w:rPr>
          <w:i/>
        </w:rPr>
        <w:t xml:space="preserve">MultiSig</w:t>
      </w:r>
      <w:r>
        <w:t xml:space="preserve"> прима исти износ токена, спреман за даље извршавање већ потписаног предлога. </w:t>
      </w:r>
      <w:r/>
    </w:p>
    <w:p>
      <w:pPr>
        <w:pStyle w:val="786"/>
        <w:pBdr/>
        <w:spacing/>
        <w:ind/>
        <w:rPr>
          <w:lang w:val="en-US"/>
        </w:rPr>
      </w:pPr>
      <w:r>
        <w:t xml:space="preserve">Цео сценарио прати исту логич</w:t>
      </w:r>
      <w:r>
        <w:t xml:space="preserve">ку путању кроз уговор </w:t>
      </w:r>
      <w:r>
        <w:rPr>
          <w:i/>
        </w:rPr>
        <w:t xml:space="preserve">MultiSig</w:t>
      </w:r>
      <w:r>
        <w:t xml:space="preserve">, независно од </w:t>
      </w:r>
      <w:r>
        <w:t xml:space="preserve">тога да ли је активна </w:t>
      </w:r>
      <w:r>
        <w:rPr>
          <w:i/>
        </w:rPr>
        <w:t xml:space="preserve">EIP-7702</w:t>
      </w:r>
      <w:r>
        <w:t xml:space="preserve"> делега</w:t>
      </w:r>
      <w:r>
        <w:t xml:space="preserve">ција: предлагач позива </w:t>
      </w:r>
      <w:r>
        <w:rPr>
          <w:i/>
        </w:rPr>
        <w:t xml:space="preserve">propose</w:t>
      </w:r>
      <w:r>
        <w:t xml:space="preserve">, чиме се у уговору уписује нов унос </w:t>
      </w:r>
      <w:r>
        <w:t xml:space="preserve">идентификован вредношћу </w:t>
      </w:r>
      <w:r>
        <w:rPr>
          <w:i/>
        </w:rPr>
        <w:t xml:space="preserve">txHash</w:t>
      </w:r>
      <w:r>
        <w:t xml:space="preserve">, о</w:t>
      </w:r>
      <w:r>
        <w:t xml:space="preserve">стали потписници позивају </w:t>
      </w:r>
      <w:r>
        <w:rPr>
          <w:i/>
        </w:rPr>
        <w:t xml:space="preserve">sign</w:t>
      </w:r>
      <w:r>
        <w:t xml:space="preserve"> над истим идентификатором, а уговор интерно пребројава потписе по сваком предлогу. Тек када број потписа достигне праг, било кој</w:t>
      </w:r>
      <w:r>
        <w:t xml:space="preserve">и учесник може позвати </w:t>
      </w:r>
      <w:r>
        <w:rPr>
          <w:i/>
        </w:rPr>
        <w:t xml:space="preserve">execute</w:t>
      </w:r>
      <w:r>
        <w:t xml:space="preserve">, који преноси средства само ако уговор у међувремену располаже довољним депозитованим износом – чиме су предлагање и потписивање потпуно независни од тренутка када су средства стварно депонована.</w:t>
      </w:r>
      <w:r>
        <w:rPr>
          <w:lang w:val="en-US"/>
        </w:rPr>
      </w:r>
    </w:p>
    <w:p>
      <w:pPr>
        <w:pStyle w:val="784"/>
        <w:pBdr/>
        <w:spacing/>
        <w:ind/>
        <w:rPr/>
      </w:pPr>
      <w:r>
        <w:t xml:space="preserve">ЗАКЉУЧАК</w:t>
      </w:r>
      <w:r/>
    </w:p>
    <w:p>
      <w:pPr>
        <w:pStyle w:val="786"/>
        <w:pBdr/>
        <w:spacing/>
        <w:ind/>
        <w:rPr/>
      </w:pPr>
      <w:r>
        <w:t xml:space="preserve">Рад је показао да комбинација вишепотписн</w:t>
      </w:r>
      <w:r>
        <w:t xml:space="preserve">ог паметног уговора и </w:t>
      </w:r>
      <w:r>
        <w:rPr>
          <w:i/>
        </w:rPr>
        <w:t xml:space="preserve">EIP-7702</w:t>
      </w:r>
      <w:r>
        <w:t xml:space="preserve"> делегације кода значајно унапређује кориснич</w:t>
      </w:r>
      <w:r>
        <w:t xml:space="preserve">ко искуство при раду са </w:t>
      </w:r>
      <w:r>
        <w:rPr>
          <w:i/>
        </w:rPr>
        <w:t xml:space="preserve">ERC-20</w:t>
      </w:r>
      <w:r>
        <w:t xml:space="preserve"> токенима, без потребе за потпуном миграцијом налога на новчанике имплементиране уз помоћ паметног уговора</w:t>
      </w:r>
      <w:r>
        <w:t xml:space="preserve"> (</w:t>
      </w:r>
      <w:r>
        <w:rPr>
          <w:i/>
        </w:rPr>
        <w:t xml:space="preserve">smart contract wallets</w:t>
      </w:r>
      <w:r>
        <w:t xml:space="preserve">). Ис</w:t>
      </w:r>
      <w:r>
        <w:t xml:space="preserve">ти образац – обједињавање више узастопних позива у једну трансакцију путем привременог понашања паметног уговора – није ограничен на депозит токена у вишепотписни уговор, већ се може применити на било који ток који данас захтева више одвојених трансакција.</w:t>
      </w:r>
      <w:r/>
    </w:p>
    <w:p>
      <w:pPr>
        <w:pStyle w:val="788"/>
        <w:pBdr/>
        <w:spacing/>
        <w:ind/>
        <w:rPr/>
      </w:pPr>
      <w:r>
        <w:t xml:space="preserve">Ограничења</w:t>
      </w:r>
      <w:r/>
    </w:p>
    <w:p>
      <w:pPr>
        <w:pStyle w:val="786"/>
        <w:pBdr/>
        <w:spacing/>
        <w:ind/>
        <w:rPr/>
      </w:pPr>
      <w:r>
        <w:t xml:space="preserve">Тренутна имплементација тес</w:t>
      </w:r>
      <w:r>
        <w:t xml:space="preserve">тирана је искључиво на </w:t>
      </w:r>
      <w:r>
        <w:rPr>
          <w:i/>
        </w:rPr>
        <w:t xml:space="preserve">Sepolia</w:t>
      </w:r>
      <w:r>
        <w:t xml:space="preserve"> тест мрежи и није прошла независну безбедносну ревизију, што је предуслов за разматрање употребе на главној мрежи. Управљање приватним кључем ослања се на директан унос или генерисање кључа и шифровање лозинком, без подршке за стандардиз</w:t>
      </w:r>
      <w:r>
        <w:t xml:space="preserve">оване мнемоничке фразе (</w:t>
      </w:r>
      <w:r>
        <w:rPr>
          <w:i/>
        </w:rPr>
        <w:t xml:space="preserve">BIP-39</w:t>
      </w:r>
      <w:r>
        <w:t xml:space="preserve">) или хардверске новчанике. Фокус рада је намерно ограничен на </w:t>
      </w:r>
      <w:r>
        <w:t xml:space="preserve">вишепотписни уговор и </w:t>
      </w:r>
      <w:r>
        <w:rPr>
          <w:i/>
        </w:rPr>
        <w:t xml:space="preserve">EIP-7702</w:t>
      </w:r>
      <w:r>
        <w:t xml:space="preserve"> делегацију, док подршка за вишепотписне трансакције у н</w:t>
      </w:r>
      <w:r>
        <w:t xml:space="preserve">ативној </w:t>
      </w:r>
      <w:r>
        <w:rPr>
          <w:i/>
        </w:rPr>
        <w:t xml:space="preserve">ETH</w:t>
      </w:r>
      <w:r>
        <w:t xml:space="preserve"> валути остаје ван домена овог рада.</w:t>
      </w:r>
      <w:r/>
    </w:p>
    <w:p>
      <w:pPr>
        <w:pStyle w:val="788"/>
        <w:pBdr/>
        <w:spacing/>
        <w:ind/>
        <w:rPr/>
      </w:pPr>
      <w:r>
        <w:t xml:space="preserve">Будући рад</w:t>
      </w:r>
      <w:r/>
    </w:p>
    <w:p>
      <w:pPr>
        <w:pStyle w:val="786"/>
        <w:pBdr/>
        <w:spacing/>
        <w:ind/>
        <w:rPr/>
      </w:pPr>
      <w:r>
        <w:t xml:space="preserve">Пре разматрања употребе на главној мрежи неопходна је независна безбедн</w:t>
      </w:r>
      <w:r>
        <w:t xml:space="preserve">осна ревизија уговора </w:t>
      </w:r>
      <w:r>
        <w:rPr>
          <w:i/>
        </w:rPr>
        <w:t xml:space="preserve">MultiSig</w:t>
      </w:r>
      <w:r>
        <w:t xml:space="preserve"> и </w:t>
      </w:r>
      <w:r>
        <w:rPr>
          <w:i/>
        </w:rPr>
        <w:t xml:space="preserve">Approver</w:t>
      </w:r>
      <w:r>
        <w:t xml:space="preserve">, као и усклађивање управљања приватним кључем са уобичајеном праксом индустрије. Приказ историј</w:t>
      </w:r>
      <w:r>
        <w:t xml:space="preserve">е трансакција путем јавног </w:t>
      </w:r>
      <w:r>
        <w:rPr>
          <w:i/>
        </w:rPr>
        <w:t xml:space="preserve">API</w:t>
      </w:r>
      <w:r>
        <w:t xml:space="preserve">-ја и подршка за више </w:t>
      </w:r>
      <w:r>
        <w:rPr>
          <w:i/>
        </w:rPr>
        <w:t xml:space="preserve">Ethereum</w:t>
      </w:r>
      <w:r>
        <w:t xml:space="preserve"> мрежа истовремено представљају природно проширење корисничког интерф</w:t>
      </w:r>
      <w:r>
        <w:t xml:space="preserve">ејса. Са аспекта саме </w:t>
      </w:r>
      <w:r>
        <w:rPr>
          <w:i/>
        </w:rPr>
        <w:t xml:space="preserve">EIP-7702</w:t>
      </w:r>
      <w:r>
        <w:t xml:space="preserve"> делегације, примењени образац ни</w:t>
      </w:r>
      <w:r>
        <w:t xml:space="preserve">је ограничен на депозит </w:t>
      </w:r>
      <w:r>
        <w:rPr>
          <w:i/>
        </w:rPr>
        <w:t xml:space="preserve">ERC-20</w:t>
      </w:r>
      <w:r>
        <w:t xml:space="preserve"> токена, већ би могао постати општи механизам за побољшање корисничког и</w:t>
      </w:r>
      <w:r>
        <w:t xml:space="preserve">скуства у ширем скупу </w:t>
      </w:r>
      <w:r>
        <w:rPr>
          <w:i/>
        </w:rPr>
        <w:t xml:space="preserve">Ethereum</w:t>
      </w:r>
      <w:r>
        <w:t xml:space="preserve"> апликација.</w:t>
      </w:r>
      <w:r/>
    </w:p>
    <w:p>
      <w:pPr>
        <w:pStyle w:val="784"/>
        <w:pBdr/>
        <w:spacing/>
        <w:ind/>
        <w:rPr/>
      </w:pPr>
      <w:r>
        <w:t xml:space="preserve">ЛИТЕРАТУРА</w:t>
      </w:r>
      <w:r/>
    </w:p>
    <w:p>
      <w:pPr>
        <w:pStyle w:val="795"/>
        <w:pBdr/>
        <w:spacing/>
        <w:ind/>
        <w:rPr/>
      </w:pPr>
      <w:r>
        <w:t xml:space="preserve">[1]S. Nakamoto, "Bitcoin: A peer-to-peer electronic cash system", 2008. URL: https://bitcoin.org/bitcoin.pdf (pristupljeno u julu 2026)</w:t>
      </w:r>
      <w:r/>
    </w:p>
    <w:p>
      <w:pPr>
        <w:pStyle w:val="795"/>
        <w:pBdr/>
        <w:spacing/>
        <w:ind/>
        <w:rPr/>
      </w:pPr>
      <w:r>
        <w:t xml:space="preserve">[2]A.M.Antonopoulos, G.Wood, "Mastering Ethereum: Building Smart Contracts and DApps", O'Reilly Media, 2018.</w:t>
      </w:r>
      <w:r/>
    </w:p>
    <w:p>
      <w:pPr>
        <w:pStyle w:val="795"/>
        <w:pBdr/>
        <w:spacing/>
        <w:ind/>
        <w:rPr/>
      </w:pPr>
      <w:r>
        <w:t xml:space="preserve">[3]F.Vogelsteller, V.Buterin, "EIP-20: Token Standard", 2015. URL: https://eips.ethereum.org/EIPS/eip-20 (pristupljeno u julu 2026)</w:t>
      </w:r>
      <w:r/>
    </w:p>
    <w:p>
      <w:pPr>
        <w:pStyle w:val="795"/>
        <w:pBdr/>
        <w:spacing/>
        <w:ind/>
        <w:rPr/>
      </w:pPr>
      <w:r>
        <w:t xml:space="preserve">[4]V.Buterin et al., "EIP-7702: Set EOA account code", 2024. URL: https://eips.ethereum.org/EIPS/eip-7702 (pristupljeno u julu 2026)</w:t>
      </w:r>
      <w:r/>
    </w:p>
    <w:p>
      <w:pPr>
        <w:pStyle w:val="795"/>
        <w:pBdr/>
        <w:spacing/>
        <w:ind/>
        <w:rPr/>
      </w:pPr>
      <w:r>
        <w:t xml:space="preserve">[5]T.Beiko, "EIP-7600: Hardfork Meta - Pectra", 2025. URL: https://eips.ethereum.org/EIPS/eip-7600 (pristupljeno u julu 2026)</w:t>
      </w:r>
      <w:r/>
    </w:p>
    <w:p>
      <w:pPr>
        <w:pStyle w:val="795"/>
        <w:pBdr/>
        <w:spacing/>
        <w:ind/>
        <w:rPr/>
      </w:pPr>
      <w:r>
        <w:t xml:space="preserve">[6]G.Wood, "Ethereum: A secure decentralised generalised transaction ledger", 2024. URL: https://ethereum.github.io/yellowpaper/paper.pdf (pristupljeno u julu 2026)</w:t>
      </w:r>
      <w:r/>
    </w:p>
    <w:p>
      <w:pPr>
        <w:pStyle w:val="795"/>
        <w:pBdr/>
        <w:spacing/>
        <w:ind/>
        <w:rPr/>
      </w:pPr>
      <w:r>
        <w:t xml:space="preserve">[7]Safe Ecosystem Foundation, "Safe: Smart account overview", 2023. URL: https://docs.safe.global/advanced/smart-account-overview (pristupljeno u julu 2026)</w:t>
      </w:r>
      <w:r/>
    </w:p>
    <w:p>
      <w:pPr>
        <w:pStyle w:val="795"/>
        <w:pBdr/>
        <w:spacing/>
        <w:ind/>
        <w:rPr/>
      </w:pPr>
      <w:r>
        <w:t xml:space="preserve">[8]V.Buterin et al., "EIP-4337: Account Abstraction Using Alt Mempool", 2021. URL: https://eips.ethereum.org/EIPS/eip-4337 (pristupljeno u julu 2026)</w:t>
      </w:r>
      <w:r/>
    </w:p>
    <w:p>
      <w:pPr>
        <w:pStyle w:val="795"/>
        <w:pBdr/>
        <w:spacing/>
        <w:ind/>
        <w:rPr/>
      </w:pPr>
      <w:r>
        <w:t xml:space="preserve">[9]S.Wilson, M.Zoltu, "EIP-3074: AUTH and AUTHCALL opcodes", 2020. URL: https://eips.ethereum.org/EIPS/eip-3074 (pristupljeno u julu 2026)</w:t>
      </w:r>
      <w:r/>
    </w:p>
    <w:p>
      <w:pPr>
        <w:pStyle w:val="795"/>
        <w:pBdr/>
        <w:spacing/>
        <w:ind/>
        <w:rPr/>
      </w:pPr>
      <w:r>
        <w:t xml:space="preserve">[10]M.di Angelo, G.Salzer, "Wallet Contracts on Ethereum - Identification, Types, Usage, and Profiles", arXiv preprint, 2020. URL: https://arxiv.org/abs/2001.06909 (pristupljeno u julu 2026)</w:t>
      </w:r>
      <w:r/>
    </w:p>
    <w:p>
      <w:pPr>
        <w:pStyle w:val="795"/>
        <w:pBdr/>
        <w:spacing/>
        <w:ind/>
        <w:rPr/>
      </w:pPr>
      <w:r>
        <w:t xml:space="preserve">[11]Uniswap Labs, "Permit2: Next Generation Token Approvals", 2022. URL: https://github.com/Uniswap/permit2 (pristupljeno u julu 2026)</w:t>
      </w:r>
      <w:r/>
    </w:p>
    <w:p>
      <w:pPr>
        <w:pStyle w:val="795"/>
        <w:pBdr/>
        <w:spacing/>
        <w:ind/>
        <w:rPr/>
      </w:pPr>
      <w:r>
        <w:t xml:space="preserve">[12]Uniswap Labs, "Uniswap v3 Core", 2021. URL: https://uniswap.org/whitepaper-v3.pdf (pristupljeno u julu 2026)</w:t>
      </w:r>
      <w:r/>
    </w:p>
    <w:p>
      <w:pPr>
        <w:pStyle w:val="795"/>
        <w:pBdr/>
        <w:spacing/>
        <w:ind/>
        <w:rPr/>
      </w:pPr>
      <w:r>
        <w:t xml:space="preserve">[13]R.Moore, "ethers.js - Complete Ethereum library for JavaScript", 2024. URL: https://docs.ethers.org/v6/ (pristupljeno u julu 2026)</w:t>
      </w:r>
      <w:r/>
    </w:p>
    <w:p>
      <w:pPr>
        <w:pStyle w:val="778"/>
        <w:pBdr/>
        <w:spacing/>
        <w:ind/>
        <w:rPr/>
      </w:pPr>
      <w:r>
        <w:t xml:space="preserve">Кратка биографија:</w:t>
      </w:r>
      <w:r/>
    </w:p>
    <w:tbl>
      <w:tblPr>
        <w:tblInd w:w="108" w:type="dxa"/>
        <w:tblW w:w="0" w:type="auto"/>
        <w:tblBorders/>
        <w:tblLook w:val="01E0" w:firstRow="1" w:lastRow="1" w:firstColumn="1" w:lastColumn="1" w:noHBand="0" w:noVBand="0"/>
      </w:tblPr>
      <w:tblGrid>
        <w:gridCol w:w="1656"/>
        <w:gridCol w:w="3005"/>
      </w:tblGrid>
      <w:tr>
        <w:trPr>
          <w:trHeight w:val="785"/>
        </w:trPr>
        <w:tc>
          <w:tcPr>
            <w:tcBorders/>
            <w:tcW w:w="1564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248412</wp:posOffset>
                      </wp:positionH>
                      <wp:positionV relativeFrom="paragraph">
                        <wp:posOffset>75692</wp:posOffset>
                      </wp:positionV>
                      <wp:extent cx="895350" cy="938784"/>
                      <wp:effectExtent l="19050" t="0" r="0" b="0"/>
                      <wp:wrapSquare wrapText="bothSides"/>
                      <wp:docPr id="3" name="Picture 4" descr="profile_phot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rofile_photo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5350" cy="9387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position:absolute;z-index:251658240;o:allowoverlap:true;o:allowincell:true;mso-position-horizontal-relative:text;margin-left:19.56pt;mso-position-horizontal:absolute;mso-position-vertical-relative:text;margin-top:5.96pt;mso-position-vertical:absolute;width:70.50pt;height:73.92pt;mso-wrap-distance-left:9.00pt;mso-wrap-distance-top:0.00pt;mso-wrap-distance-right:9.00pt;mso-wrap-distance-bottom:0.00pt;z-index:1;" stroked="false">
                      <w10:wrap type="square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sz w:val="18"/>
                <w:szCs w:val="1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  <w:lang w:val="en-US"/>
              </w:rPr>
            </w:r>
            <w:r>
              <w:rPr>
                <w:rFonts w:ascii="Times New Roman" w:hAnsi="Times New Roman" w:eastAsia="Times New Roman" w:cs="Times New Roman"/>
                <w:i/>
                <w:sz w:val="18"/>
                <w:szCs w:val="18"/>
                <w:lang w:val="en-US"/>
              </w:rPr>
            </w:r>
          </w:p>
        </w:tc>
        <w:tc>
          <w:tcPr>
            <w:tcBorders/>
            <w:tcW w:w="3005" w:type="dxa"/>
          </w:tcPr>
          <w:p>
            <w:pPr>
              <w:pStyle w:val="793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Александар Стојановић</w:t>
            </w:r>
            <w:r>
              <w:t xml:space="preserve"> рођен је у Новом Саду 2000. год. Основне академске студије на Факултету техничких наука из области Електротехнике и рачунарства завршио је 2023.год. Мастер рад на Факултету техничких наука из области Рачунарства и аутоматике одбранио је 2026.год.</w:t>
            </w:r>
            <w:r>
              <w:rPr>
                <w:b/>
              </w:rPr>
            </w:r>
          </w:p>
          <w:p>
            <w:pPr>
              <w:pStyle w:val="793"/>
              <w:pBdr/>
              <w:spacing/>
              <w:ind/>
              <w:rPr/>
            </w:pPr>
            <w:r>
              <w:rPr>
                <w:b/>
                <w:bCs/>
              </w:rPr>
              <w:t xml:space="preserve">Контакт</w:t>
            </w:r>
            <w:r>
              <w:t xml:space="preserve">:</w:t>
            </w:r>
            <w:r>
              <w:rPr>
                <w:lang w:val="en-US"/>
              </w:rPr>
              <w:t xml:space="preserve"> </w:t>
            </w:r>
            <w:hyperlink r:id="rId13" w:tooltip="mailto:al.stojanovic0@gmail.com" w:history="1">
              <w:r>
                <w:rPr>
                  <w:rStyle w:val="759"/>
                </w:rPr>
                <w:t xml:space="preserve">al.stojanovic0@gmail.com</w:t>
              </w:r>
            </w:hyperlink>
            <w:r/>
            <w:r/>
          </w:p>
        </w:tc>
      </w:tr>
    </w:tbl>
    <w:p>
      <w:pPr>
        <w:pBdr/>
        <w:spacing/>
        <w:ind w:firstLine="0"/>
        <w:jc w:val="left"/>
        <w:rPr>
          <w:rFonts w:ascii="Times New Roman" w:hAnsi="Times New Roman" w:eastAsia="Times New Roman" w:cs="Times New Roman"/>
          <w:iCs/>
          <w:sz w:val="12"/>
          <w:szCs w:val="24"/>
        </w:rPr>
      </w:pPr>
      <w:r>
        <w:rPr>
          <w:rFonts w:ascii="Times New Roman" w:hAnsi="Times New Roman" w:eastAsia="Times New Roman" w:cs="Times New Roman"/>
          <w:iCs/>
          <w:sz w:val="12"/>
          <w:szCs w:val="24"/>
        </w:rPr>
      </w:r>
      <w:r>
        <w:rPr>
          <w:rFonts w:ascii="Times New Roman" w:hAnsi="Times New Roman" w:eastAsia="Times New Roman" w:cs="Times New Roman"/>
          <w:iCs/>
          <w:sz w:val="12"/>
          <w:szCs w:val="24"/>
        </w:rPr>
      </w:r>
    </w:p>
    <w:sectPr>
      <w:footnotePr/>
      <w:endnotePr/>
      <w:type w:val="continuous"/>
      <w:pgSz w:h="16838" w:orient="portrait" w:w="11906"/>
      <w:pgMar w:top="1134" w:right="1134" w:bottom="1134" w:left="1134" w:header="708" w:footer="708" w:gutter="0"/>
      <w:cols w:num="2" w:sep="0" w:space="284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before="0"/>
        <w:ind/>
        <w:rPr/>
      </w:pPr>
      <w:r>
        <w:separator/>
      </w:r>
      <w:r/>
    </w:p>
  </w:endnote>
  <w:endnote w:type="continuationSeparator" w:id="0">
    <w:p>
      <w:pPr>
        <w:pBdr/>
        <w:spacing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 Black">
    <w:panose1 w:val="020B0704020202020204"/>
  </w:font>
  <w:font w:name="Times New Roman">
    <w:panose1 w:val="02020603050405020304"/>
  </w:font>
  <w:font w:name="Tahoma">
    <w:panose1 w:val="020B0606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before="0"/>
        <w:ind/>
        <w:rPr/>
      </w:pPr>
      <w:r>
        <w:separator/>
      </w:r>
      <w:r/>
    </w:p>
  </w:footnote>
  <w:footnote w:type="continuationSeparator" w:id="0">
    <w:p>
      <w:pPr>
        <w:pBdr/>
        <w:spacing w:before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B7F75"/>
    <w:numStyleLink w:val="790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2144579A"/>
    <w:numStyleLink w:val="790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2CD932D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8D87F0C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784"/>
      <w:rPr>
        <w:rFonts w:hint="default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pStyle w:val="788"/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4">
    <w:nsid w:val="51CF427E"/>
    <w:styleLink w:val="790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790"/>
      <w:rPr>
        <w:rFonts w:hint="default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5">
    <w:nsid w:val="5F5E719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BEC72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GB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1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190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191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192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193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194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195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196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197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4"/>
    <w:next w:val="714"/>
    <w:uiPriority w:val="99"/>
    <w:unhideWhenUsed/>
    <w:pPr>
      <w:pBdr/>
      <w:spacing w:after="0" w:afterAutospacing="0"/>
      <w:ind/>
    </w:pPr>
  </w:style>
  <w:style w:type="paragraph" w:styleId="714" w:default="1">
    <w:name w:val="Normal"/>
    <w:pPr>
      <w:pBdr/>
      <w:spacing w:before="120"/>
      <w:ind w:firstLine="360"/>
      <w:jc w:val="both"/>
    </w:pPr>
    <w:rPr>
      <w:sz w:val="20"/>
    </w:rPr>
  </w:style>
  <w:style w:type="paragraph" w:styleId="715">
    <w:name w:val="Heading 1"/>
    <w:basedOn w:val="714"/>
    <w:next w:val="714"/>
    <w:link w:val="727"/>
    <w:uiPriority w:val="9"/>
    <w:pPr>
      <w:pBdr/>
      <w:spacing w:before="480"/>
      <w:ind/>
      <w:contextualSpacing w:val="true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16">
    <w:name w:val="Heading 2"/>
    <w:basedOn w:val="714"/>
    <w:next w:val="714"/>
    <w:link w:val="728"/>
    <w:uiPriority w:val="9"/>
    <w:semiHidden/>
    <w:unhideWhenUsed/>
    <w:pPr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717">
    <w:name w:val="Heading 3"/>
    <w:basedOn w:val="714"/>
    <w:next w:val="714"/>
    <w:link w:val="729"/>
    <w:uiPriority w:val="9"/>
    <w:semiHidden/>
    <w:unhideWhenUsed/>
    <w:qFormat/>
    <w:pPr>
      <w:pBdr/>
      <w:spacing w:before="200" w:line="271" w:lineRule="auto"/>
      <w:ind/>
      <w:outlineLvl w:val="2"/>
    </w:pPr>
    <w:rPr>
      <w:rFonts w:asciiTheme="majorHAnsi" w:hAnsiTheme="majorHAnsi" w:eastAsiaTheme="majorEastAsia" w:cstheme="majorBidi"/>
      <w:b/>
      <w:bCs/>
    </w:rPr>
  </w:style>
  <w:style w:type="paragraph" w:styleId="718">
    <w:name w:val="Heading 4"/>
    <w:basedOn w:val="714"/>
    <w:next w:val="714"/>
    <w:link w:val="730"/>
    <w:uiPriority w:val="9"/>
    <w:semiHidden/>
    <w:unhideWhenUsed/>
    <w:qFormat/>
    <w:p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719">
    <w:name w:val="Heading 5"/>
    <w:basedOn w:val="714"/>
    <w:next w:val="714"/>
    <w:link w:val="731"/>
    <w:uiPriority w:val="9"/>
    <w:semiHidden/>
    <w:unhideWhenUsed/>
    <w:qFormat/>
    <w:pPr>
      <w:pBdr/>
      <w:spacing w:before="200"/>
      <w:ind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paragraph" w:styleId="720">
    <w:name w:val="Heading 6"/>
    <w:basedOn w:val="714"/>
    <w:next w:val="714"/>
    <w:link w:val="732"/>
    <w:uiPriority w:val="9"/>
    <w:semiHidden/>
    <w:unhideWhenUsed/>
    <w:qFormat/>
    <w:pPr>
      <w:pBdr/>
      <w:spacing w:line="271" w:lineRule="auto"/>
      <w:ind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paragraph" w:styleId="721">
    <w:name w:val="Heading 7"/>
    <w:basedOn w:val="714"/>
    <w:next w:val="714"/>
    <w:link w:val="733"/>
    <w:uiPriority w:val="9"/>
    <w:semiHidden/>
    <w:unhideWhenUsed/>
    <w:qFormat/>
    <w:pPr>
      <w:pBdr/>
      <w:spacing/>
      <w:ind/>
      <w:outlineLvl w:val="6"/>
    </w:pPr>
    <w:rPr>
      <w:rFonts w:asciiTheme="majorHAnsi" w:hAnsiTheme="majorHAnsi" w:eastAsiaTheme="majorEastAsia" w:cstheme="majorBidi"/>
      <w:i/>
      <w:iCs/>
    </w:rPr>
  </w:style>
  <w:style w:type="paragraph" w:styleId="722">
    <w:name w:val="Heading 8"/>
    <w:basedOn w:val="714"/>
    <w:next w:val="714"/>
    <w:link w:val="734"/>
    <w:uiPriority w:val="9"/>
    <w:semiHidden/>
    <w:unhideWhenUsed/>
    <w:qFormat/>
    <w:pPr>
      <w:pBdr/>
      <w:spacing/>
      <w:ind/>
      <w:outlineLvl w:val="7"/>
    </w:pPr>
    <w:rPr>
      <w:rFonts w:asciiTheme="majorHAnsi" w:hAnsiTheme="majorHAnsi" w:eastAsiaTheme="majorEastAsia" w:cstheme="majorBidi"/>
      <w:szCs w:val="20"/>
    </w:rPr>
  </w:style>
  <w:style w:type="paragraph" w:styleId="723">
    <w:name w:val="Heading 9"/>
    <w:basedOn w:val="714"/>
    <w:next w:val="714"/>
    <w:link w:val="735"/>
    <w:uiPriority w:val="9"/>
    <w:semiHidden/>
    <w:unhideWhenUsed/>
    <w:qFormat/>
    <w:pPr>
      <w:pBdr/>
      <w:spacing/>
      <w:ind/>
      <w:outlineLvl w:val="8"/>
    </w:pPr>
    <w:rPr>
      <w:rFonts w:asciiTheme="majorHAnsi" w:hAnsiTheme="majorHAnsi" w:eastAsiaTheme="majorEastAsia" w:cstheme="majorBidi"/>
      <w:i/>
      <w:iCs/>
      <w:spacing w:val="5"/>
      <w:szCs w:val="20"/>
    </w:rPr>
  </w:style>
  <w:style w:type="character" w:styleId="724" w:default="1">
    <w:name w:val="Default Paragraph Font"/>
    <w:uiPriority w:val="1"/>
    <w:unhideWhenUsed/>
    <w:pPr>
      <w:pBdr/>
      <w:spacing/>
      <w:ind/>
    </w:pPr>
  </w:style>
  <w:style w:type="table" w:styleId="725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6" w:default="1">
    <w:name w:val="No List"/>
    <w:uiPriority w:val="99"/>
    <w:semiHidden/>
    <w:unhideWhenUsed/>
    <w:pPr>
      <w:pBdr/>
      <w:spacing/>
      <w:ind/>
    </w:pPr>
  </w:style>
  <w:style w:type="character" w:styleId="727" w:customStyle="1">
    <w:name w:val="Heading 1 Char"/>
    <w:basedOn w:val="724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728" w:customStyle="1">
    <w:name w:val="Heading 2 Char"/>
    <w:basedOn w:val="724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729" w:customStyle="1">
    <w:name w:val="Heading 3 Char"/>
    <w:basedOn w:val="724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character" w:styleId="730" w:customStyle="1">
    <w:name w:val="Heading 4 Char"/>
    <w:basedOn w:val="724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</w:rPr>
  </w:style>
  <w:style w:type="character" w:styleId="731" w:customStyle="1">
    <w:name w:val="Heading 5 Char"/>
    <w:basedOn w:val="724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character" w:styleId="732" w:customStyle="1">
    <w:name w:val="Heading 6 Char"/>
    <w:basedOn w:val="724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character" w:styleId="733" w:customStyle="1">
    <w:name w:val="Heading 7 Char"/>
    <w:basedOn w:val="724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</w:rPr>
  </w:style>
  <w:style w:type="character" w:styleId="734" w:customStyle="1">
    <w:name w:val="Heading 8 Char"/>
    <w:basedOn w:val="724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0"/>
      <w:szCs w:val="20"/>
    </w:rPr>
  </w:style>
  <w:style w:type="character" w:styleId="735" w:customStyle="1">
    <w:name w:val="Heading 9 Char"/>
    <w:basedOn w:val="724"/>
    <w:link w:val="72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paragraph" w:styleId="736">
    <w:name w:val="Title"/>
    <w:basedOn w:val="714"/>
    <w:next w:val="714"/>
    <w:link w:val="737"/>
    <w:uiPriority w:val="10"/>
    <w:pPr>
      <w:pBdr>
        <w:bottom w:val="single" w:color="000000" w:sz="4" w:space="1"/>
      </w:pBdr>
      <w:spacing/>
      <w:ind/>
      <w:contextualSpacing w:val="true"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737" w:customStyle="1">
    <w:name w:val="Title Char"/>
    <w:basedOn w:val="724"/>
    <w:link w:val="736"/>
    <w:uiPriority w:val="10"/>
    <w:pPr>
      <w:pBdr/>
      <w:spacing/>
      <w:ind/>
    </w:pPr>
    <w:rPr>
      <w:rFonts w:asciiTheme="majorHAnsi" w:hAnsiTheme="majorHAnsi" w:eastAsiaTheme="majorEastAsia" w:cstheme="majorBidi"/>
      <w:spacing w:val="5"/>
      <w:sz w:val="52"/>
      <w:szCs w:val="52"/>
    </w:rPr>
  </w:style>
  <w:style w:type="paragraph" w:styleId="738">
    <w:name w:val="Subtitle"/>
    <w:basedOn w:val="714"/>
    <w:next w:val="714"/>
    <w:link w:val="739"/>
    <w:uiPriority w:val="11"/>
    <w:pPr>
      <w:pBdr/>
      <w:spacing w:after="600"/>
      <w:ind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character" w:styleId="739" w:customStyle="1">
    <w:name w:val="Subtitle Char"/>
    <w:basedOn w:val="724"/>
    <w:link w:val="73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character" w:styleId="740">
    <w:name w:val="Strong"/>
    <w:uiPriority w:val="22"/>
    <w:pPr>
      <w:pBdr/>
      <w:spacing/>
      <w:ind/>
    </w:pPr>
    <w:rPr>
      <w:b/>
      <w:bCs/>
    </w:rPr>
  </w:style>
  <w:style w:type="character" w:styleId="741">
    <w:name w:val="Emphasis"/>
    <w:uiPriority w:val="20"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742">
    <w:name w:val="No Spacing"/>
    <w:basedOn w:val="714"/>
    <w:link w:val="755"/>
    <w:uiPriority w:val="1"/>
    <w:pPr>
      <w:pBdr/>
      <w:spacing/>
      <w:ind/>
    </w:pPr>
  </w:style>
  <w:style w:type="paragraph" w:styleId="743">
    <w:name w:val="List Paragraph"/>
    <w:basedOn w:val="714"/>
    <w:uiPriority w:val="34"/>
    <w:pPr>
      <w:pBdr/>
      <w:spacing/>
      <w:ind w:left="720"/>
      <w:contextualSpacing w:val="true"/>
    </w:pPr>
  </w:style>
  <w:style w:type="paragraph" w:styleId="744">
    <w:name w:val="Quote"/>
    <w:basedOn w:val="714"/>
    <w:next w:val="714"/>
    <w:link w:val="745"/>
    <w:uiPriority w:val="29"/>
    <w:pPr>
      <w:pBdr/>
      <w:spacing w:before="200"/>
      <w:ind w:right="360" w:left="360"/>
    </w:pPr>
    <w:rPr>
      <w:i/>
      <w:iCs/>
    </w:rPr>
  </w:style>
  <w:style w:type="character" w:styleId="745" w:customStyle="1">
    <w:name w:val="Quote Char"/>
    <w:basedOn w:val="724"/>
    <w:link w:val="744"/>
    <w:uiPriority w:val="29"/>
    <w:pPr>
      <w:pBdr/>
      <w:spacing/>
      <w:ind/>
    </w:pPr>
    <w:rPr>
      <w:i/>
      <w:iCs/>
    </w:rPr>
  </w:style>
  <w:style w:type="paragraph" w:styleId="746">
    <w:name w:val="Intense Quote"/>
    <w:basedOn w:val="714"/>
    <w:next w:val="714"/>
    <w:link w:val="747"/>
    <w:uiPriority w:val="30"/>
    <w:pPr>
      <w:pBdr>
        <w:bottom w:val="single" w:color="000000" w:sz="4" w:space="1"/>
      </w:pBdr>
      <w:spacing w:after="280" w:before="200"/>
      <w:ind w:right="1152" w:left="1008"/>
    </w:pPr>
    <w:rPr>
      <w:b/>
      <w:bCs/>
      <w:i/>
      <w:iCs/>
    </w:rPr>
  </w:style>
  <w:style w:type="character" w:styleId="747" w:customStyle="1">
    <w:name w:val="Intense Quote Char"/>
    <w:basedOn w:val="724"/>
    <w:link w:val="746"/>
    <w:uiPriority w:val="30"/>
    <w:pPr>
      <w:pBdr/>
      <w:spacing/>
      <w:ind/>
    </w:pPr>
    <w:rPr>
      <w:b/>
      <w:bCs/>
      <w:i/>
      <w:iCs/>
    </w:rPr>
  </w:style>
  <w:style w:type="character" w:styleId="748">
    <w:name w:val="Subtle Emphasis"/>
    <w:uiPriority w:val="19"/>
    <w:pPr>
      <w:pBdr/>
      <w:spacing/>
      <w:ind/>
    </w:pPr>
    <w:rPr>
      <w:i/>
      <w:iCs/>
    </w:rPr>
  </w:style>
  <w:style w:type="character" w:styleId="749">
    <w:name w:val="Intense Emphasis"/>
    <w:uiPriority w:val="21"/>
    <w:pPr>
      <w:pBdr/>
      <w:spacing/>
      <w:ind/>
    </w:pPr>
    <w:rPr>
      <w:b/>
      <w:bCs/>
    </w:rPr>
  </w:style>
  <w:style w:type="character" w:styleId="750">
    <w:name w:val="Subtle Reference"/>
    <w:uiPriority w:val="31"/>
    <w:pPr>
      <w:pBdr/>
      <w:spacing/>
      <w:ind/>
    </w:pPr>
    <w:rPr>
      <w:smallCaps/>
    </w:rPr>
  </w:style>
  <w:style w:type="character" w:styleId="751">
    <w:name w:val="Intense Reference"/>
    <w:uiPriority w:val="32"/>
    <w:pPr>
      <w:pBdr/>
      <w:spacing/>
      <w:ind/>
    </w:pPr>
    <w:rPr>
      <w:smallCaps/>
      <w:spacing w:val="5"/>
      <w:u w:val="single"/>
    </w:rPr>
  </w:style>
  <w:style w:type="character" w:styleId="752">
    <w:name w:val="Book Title"/>
    <w:uiPriority w:val="33"/>
    <w:pPr>
      <w:pBdr/>
      <w:spacing/>
      <w:ind/>
    </w:pPr>
    <w:rPr>
      <w:i/>
      <w:iCs/>
      <w:smallCaps/>
      <w:spacing w:val="5"/>
    </w:rPr>
  </w:style>
  <w:style w:type="paragraph" w:styleId="753">
    <w:name w:val="TOC Heading"/>
    <w:basedOn w:val="715"/>
    <w:next w:val="714"/>
    <w:uiPriority w:val="39"/>
    <w:semiHidden/>
    <w:unhideWhenUsed/>
    <w:qFormat/>
    <w:pPr>
      <w:pBdr/>
      <w:spacing/>
      <w:ind/>
      <w:outlineLvl w:val="9"/>
    </w:pPr>
    <w:rPr>
      <w:lang w:bidi="en-US"/>
    </w:rPr>
  </w:style>
  <w:style w:type="paragraph" w:styleId="754">
    <w:name w:val="Caption"/>
    <w:basedOn w:val="714"/>
    <w:next w:val="714"/>
    <w:uiPriority w:val="35"/>
    <w:unhideWhenUsed/>
    <w:qFormat/>
    <w:pPr>
      <w:pBdr/>
      <w:spacing w:after="120"/>
      <w:ind/>
      <w:jc w:val="center"/>
    </w:pPr>
    <w:rPr>
      <w:spacing w:val="10"/>
      <w:sz w:val="18"/>
      <w:szCs w:val="18"/>
    </w:rPr>
  </w:style>
  <w:style w:type="character" w:styleId="755" w:customStyle="1">
    <w:name w:val="No Spacing Char"/>
    <w:basedOn w:val="724"/>
    <w:link w:val="742"/>
    <w:uiPriority w:val="1"/>
    <w:pPr>
      <w:pBdr/>
      <w:spacing/>
      <w:ind/>
    </w:pPr>
  </w:style>
  <w:style w:type="table" w:styleId="756" w:customStyle="1">
    <w:name w:val="messup"/>
    <w:basedOn w:val="725"/>
    <w:uiPriority w:val="99"/>
    <w:pPr>
      <w:pBdr/>
      <w:spacing/>
      <w:ind/>
      <w:jc w:val="center"/>
    </w:pPr>
    <w:rPr>
      <w:sz w:val="18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inorHAnsi" w:hAnsiTheme="minorHAnsi"/>
        <w:b/>
        <w:sz w:val="18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  <w:jc w:val="center"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7">
    <w:name w:val="Balloon Text"/>
    <w:basedOn w:val="714"/>
    <w:link w:val="758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758" w:customStyle="1">
    <w:name w:val="Balloon Text Char"/>
    <w:basedOn w:val="724"/>
    <w:link w:val="75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59">
    <w:name w:val="Hyperlink"/>
    <w:basedOn w:val="72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60">
    <w:name w:val="FollowedHyperlink"/>
    <w:basedOn w:val="724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table" w:styleId="761">
    <w:name w:val="Table Grid"/>
    <w:basedOn w:val="725"/>
    <w:uiPriority w:val="59"/>
    <w:pPr>
      <w:pBdr/>
      <w:spacing/>
      <w:ind/>
    </w:pPr>
    <w:rPr>
      <w:rFonts w:eastAsiaTheme="minorHAnsi"/>
      <w:lang w:val="en-US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2" w:customStyle="1">
    <w:name w:val="Unresolved Mention"/>
    <w:basedOn w:val="72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63">
    <w:name w:val="Revision"/>
    <w:hidden/>
    <w:uiPriority w:val="99"/>
    <w:semiHidden/>
    <w:pPr>
      <w:pBdr/>
      <w:spacing/>
      <w:ind/>
    </w:pPr>
    <w:rPr>
      <w:sz w:val="20"/>
    </w:rPr>
  </w:style>
  <w:style w:type="character" w:styleId="764">
    <w:name w:val="annotation reference"/>
    <w:basedOn w:val="72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765">
    <w:name w:val="annotation text"/>
    <w:basedOn w:val="714"/>
    <w:link w:val="766"/>
    <w:uiPriority w:val="99"/>
    <w:unhideWhenUsed/>
    <w:pPr>
      <w:pBdr/>
      <w:spacing/>
      <w:ind/>
    </w:pPr>
    <w:rPr>
      <w:szCs w:val="20"/>
    </w:rPr>
  </w:style>
  <w:style w:type="character" w:styleId="766" w:customStyle="1">
    <w:name w:val="Comment Text Char"/>
    <w:basedOn w:val="724"/>
    <w:link w:val="765"/>
    <w:uiPriority w:val="99"/>
    <w:pPr>
      <w:pBdr/>
      <w:spacing/>
      <w:ind/>
    </w:pPr>
    <w:rPr>
      <w:sz w:val="20"/>
      <w:szCs w:val="20"/>
    </w:rPr>
  </w:style>
  <w:style w:type="paragraph" w:styleId="767">
    <w:name w:val="annotation subject"/>
    <w:basedOn w:val="765"/>
    <w:next w:val="765"/>
    <w:link w:val="768"/>
    <w:uiPriority w:val="99"/>
    <w:semiHidden/>
    <w:unhideWhenUsed/>
    <w:pPr>
      <w:pBdr/>
      <w:spacing/>
      <w:ind/>
    </w:pPr>
    <w:rPr>
      <w:b/>
      <w:bCs/>
    </w:rPr>
  </w:style>
  <w:style w:type="character" w:styleId="768" w:customStyle="1">
    <w:name w:val="Comment Subject Char"/>
    <w:basedOn w:val="766"/>
    <w:link w:val="767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769" w:customStyle="1">
    <w:name w:val="6 - Наслов рада"/>
    <w:qFormat/>
    <w:pPr>
      <w:pBdr/>
      <w:spacing/>
      <w:ind/>
      <w:jc w:val="center"/>
    </w:pPr>
    <w:rPr>
      <w:rFonts w:ascii="Times New Roman" w:hAnsi="Times New Roman" w:eastAsia="Times New Roman" w:cs="Times New Roman"/>
      <w:b/>
      <w:iCs/>
      <w:sz w:val="28"/>
      <w:szCs w:val="24"/>
      <w:lang w:val="sr-Latn-CS"/>
    </w:rPr>
  </w:style>
  <w:style w:type="paragraph" w:styleId="770" w:customStyle="1">
    <w:name w:val="9 - Заглавље"/>
    <w:basedOn w:val="714"/>
    <w:link w:val="771"/>
    <w:qFormat/>
    <w:pPr>
      <w:pBdr/>
      <w:spacing/>
      <w:ind w:firstLine="0"/>
      <w:jc w:val="left"/>
    </w:pPr>
    <w:rPr>
      <w:rFonts w:ascii="Arial Black" w:hAnsi="Arial Black" w:eastAsia="Times New Roman" w:cs="Times New Roman"/>
      <w:b/>
      <w:sz w:val="26"/>
      <w:szCs w:val="24"/>
      <w:lang w:val="sr-Latn-CS"/>
    </w:rPr>
  </w:style>
  <w:style w:type="character" w:styleId="771" w:customStyle="1">
    <w:name w:val="9 - Заглавље Char"/>
    <w:basedOn w:val="724"/>
    <w:link w:val="770"/>
    <w:pPr>
      <w:pBdr/>
      <w:spacing/>
      <w:ind/>
    </w:pPr>
    <w:rPr>
      <w:rFonts w:ascii="Arial Black" w:hAnsi="Arial Black" w:eastAsia="Times New Roman" w:cs="Times New Roman"/>
      <w:b/>
      <w:sz w:val="26"/>
      <w:szCs w:val="24"/>
      <w:lang w:val="sr-Latn-CS"/>
    </w:rPr>
  </w:style>
  <w:style w:type="paragraph" w:styleId="772" w:customStyle="1">
    <w:name w:val="5 - УДК и ДОИ"/>
    <w:link w:val="773"/>
    <w:qFormat/>
    <w:pPr>
      <w:pBdr/>
      <w:spacing/>
      <w:ind/>
      <w:jc w:val="right"/>
    </w:pPr>
    <w:rPr>
      <w:rFonts w:ascii="Times New Roman" w:hAnsi="Times New Roman" w:eastAsia="Times New Roman" w:cs="Times New Roman"/>
      <w:b/>
      <w:sz w:val="20"/>
      <w:szCs w:val="24"/>
    </w:rPr>
  </w:style>
  <w:style w:type="character" w:styleId="773" w:customStyle="1">
    <w:name w:val="5 - УДК и ДОИ Char"/>
    <w:basedOn w:val="724"/>
    <w:link w:val="772"/>
    <w:pPr>
      <w:pBdr/>
      <w:spacing/>
      <w:ind/>
    </w:pPr>
    <w:rPr>
      <w:rFonts w:ascii="Times New Roman" w:hAnsi="Times New Roman" w:eastAsia="Times New Roman" w:cs="Times New Roman"/>
      <w:b/>
      <w:sz w:val="20"/>
      <w:szCs w:val="24"/>
    </w:rPr>
  </w:style>
  <w:style w:type="paragraph" w:styleId="774" w:customStyle="1">
    <w:name w:val="4 - Autori"/>
    <w:link w:val="775"/>
    <w:qFormat/>
    <w:pPr>
      <w:pBdr/>
      <w:spacing w:before="240"/>
      <w:ind/>
      <w:jc w:val="center"/>
    </w:pPr>
    <w:rPr>
      <w:rFonts w:ascii="Times New Roman" w:hAnsi="Times New Roman" w:eastAsia="Times New Roman" w:cs="Times New Roman"/>
      <w:iCs/>
      <w:sz w:val="24"/>
      <w:szCs w:val="24"/>
      <w:lang w:val="sr-Latn-CS"/>
    </w:rPr>
  </w:style>
  <w:style w:type="character" w:styleId="775" w:customStyle="1">
    <w:name w:val="4 - Autori Char"/>
    <w:basedOn w:val="724"/>
    <w:link w:val="774"/>
    <w:pPr>
      <w:pBdr/>
      <w:spacing/>
      <w:ind/>
    </w:pPr>
    <w:rPr>
      <w:rFonts w:ascii="Times New Roman" w:hAnsi="Times New Roman" w:eastAsia="Times New Roman" w:cs="Times New Roman"/>
      <w:iCs/>
      <w:sz w:val="24"/>
      <w:szCs w:val="24"/>
      <w:lang w:val="sr-Latn-CS"/>
    </w:rPr>
  </w:style>
  <w:style w:type="paragraph" w:styleId="776" w:customStyle="1">
    <w:name w:val="7 - Афилијација"/>
    <w:basedOn w:val="714"/>
    <w:link w:val="777"/>
    <w:qFormat/>
    <w:pPr>
      <w:pBdr/>
      <w:spacing/>
      <w:ind/>
      <w:jc w:val="center"/>
    </w:pPr>
    <w:rPr>
      <w:rFonts w:ascii="Times New Roman" w:hAnsi="Times New Roman" w:eastAsia="Times New Roman" w:cs="Times New Roman"/>
      <w:i/>
      <w:iCs/>
      <w:sz w:val="24"/>
      <w:szCs w:val="24"/>
      <w:lang w:val="sr-Latn-CS"/>
    </w:rPr>
  </w:style>
  <w:style w:type="character" w:styleId="777" w:customStyle="1">
    <w:name w:val="7 - Афилијација Char"/>
    <w:basedOn w:val="724"/>
    <w:link w:val="776"/>
    <w:pPr>
      <w:pBdr/>
      <w:spacing/>
      <w:ind/>
    </w:pPr>
    <w:rPr>
      <w:rFonts w:ascii="Times New Roman" w:hAnsi="Times New Roman" w:eastAsia="Times New Roman" w:cs="Times New Roman"/>
      <w:i/>
      <w:iCs/>
      <w:sz w:val="24"/>
      <w:szCs w:val="24"/>
      <w:lang w:val="sr-Latn-CS"/>
    </w:rPr>
  </w:style>
  <w:style w:type="paragraph" w:styleId="778" w:customStyle="1">
    <w:name w:val="Лабеле (кључне речи"/>
    <w:link w:val="779"/>
    <w:qFormat/>
    <w:pPr>
      <w:pBdr/>
      <w:spacing w:after="120"/>
      <w:ind/>
    </w:pPr>
    <w:rPr>
      <w:rFonts w:ascii="Times New Roman" w:hAnsi="Times New Roman" w:eastAsia="Times New Roman" w:cs="Times New Roman"/>
      <w:b/>
      <w:iCs/>
      <w:sz w:val="20"/>
      <w:szCs w:val="20"/>
      <w:lang w:val="sr-Latn-CS"/>
    </w:rPr>
  </w:style>
  <w:style w:type="character" w:styleId="779" w:customStyle="1">
    <w:name w:val="Лабеле (кључне речи Char"/>
    <w:basedOn w:val="724"/>
    <w:link w:val="778"/>
    <w:pPr>
      <w:pBdr/>
      <w:spacing/>
      <w:ind/>
    </w:pPr>
    <w:rPr>
      <w:rFonts w:ascii="Times New Roman" w:hAnsi="Times New Roman" w:eastAsia="Times New Roman" w:cs="Times New Roman"/>
      <w:b/>
      <w:iCs/>
      <w:sz w:val="20"/>
      <w:szCs w:val="20"/>
      <w:lang w:val="sr-Latn-CS"/>
    </w:rPr>
  </w:style>
  <w:style w:type="paragraph" w:styleId="780" w:customStyle="1">
    <w:name w:val="7 - Sadržaj apstrakta i ključnih reči"/>
    <w:link w:val="781"/>
    <w:qFormat/>
    <w:pPr>
      <w:pBdr/>
      <w:spacing/>
      <w:ind/>
    </w:pPr>
    <w:rPr>
      <w:rFonts w:ascii="Times New Roman" w:hAnsi="Times New Roman" w:eastAsia="Times New Roman" w:cs="Times New Roman"/>
      <w:i/>
      <w:iCs/>
      <w:sz w:val="20"/>
      <w:szCs w:val="20"/>
      <w:lang w:val="sr-Latn-CS"/>
    </w:rPr>
  </w:style>
  <w:style w:type="character" w:styleId="781" w:customStyle="1">
    <w:name w:val="7 - Sadržaj apstrakta i ključnih reči Char"/>
    <w:basedOn w:val="724"/>
    <w:link w:val="780"/>
    <w:pPr>
      <w:pBdr/>
      <w:spacing/>
      <w:ind/>
    </w:pPr>
    <w:rPr>
      <w:rFonts w:ascii="Times New Roman" w:hAnsi="Times New Roman" w:eastAsia="Times New Roman" w:cs="Times New Roman"/>
      <w:i/>
      <w:iCs/>
      <w:sz w:val="20"/>
      <w:szCs w:val="20"/>
      <w:lang w:val="sr-Latn-CS"/>
    </w:rPr>
  </w:style>
  <w:style w:type="paragraph" w:styleId="782" w:customStyle="1">
    <w:name w:val="8 - Напомена"/>
    <w:link w:val="783"/>
    <w:qFormat/>
    <w:pPr>
      <w:pBdr/>
      <w:spacing/>
      <w:ind/>
    </w:pPr>
    <w:rPr>
      <w:rFonts w:ascii="Times New Roman" w:hAnsi="Times New Roman" w:eastAsia="Times New Roman" w:cs="Times New Roman"/>
      <w:iCs/>
      <w:sz w:val="20"/>
      <w:szCs w:val="20"/>
      <w:lang w:val="sr-Latn-CS"/>
    </w:rPr>
  </w:style>
  <w:style w:type="character" w:styleId="783" w:customStyle="1">
    <w:name w:val="8 - Напомена Char"/>
    <w:basedOn w:val="724"/>
    <w:link w:val="782"/>
    <w:pPr>
      <w:pBdr/>
      <w:spacing/>
      <w:ind/>
    </w:pPr>
    <w:rPr>
      <w:rFonts w:ascii="Times New Roman" w:hAnsi="Times New Roman" w:eastAsia="Times New Roman" w:cs="Times New Roman"/>
      <w:iCs/>
      <w:sz w:val="20"/>
      <w:szCs w:val="20"/>
      <w:lang w:val="sr-Latn-CS"/>
    </w:rPr>
  </w:style>
  <w:style w:type="paragraph" w:styleId="784" w:customStyle="1">
    <w:name w:val="1 - Поглавље"/>
    <w:basedOn w:val="714"/>
    <w:link w:val="785"/>
    <w:qFormat/>
    <w:pPr>
      <w:numPr>
        <w:numId w:val="7"/>
      </w:numPr>
      <w:pBdr/>
      <w:spacing w:after="240" w:before="240"/>
      <w:ind/>
      <w:jc w:val="left"/>
    </w:pPr>
    <w:rPr>
      <w:rFonts w:ascii="Times New Roman" w:hAnsi="Times New Roman" w:eastAsia="Times New Roman" w:cs="Times New Roman"/>
      <w:b/>
      <w:iCs/>
      <w:szCs w:val="20"/>
      <w:lang w:val="sr-Latn-CS"/>
    </w:rPr>
  </w:style>
  <w:style w:type="character" w:styleId="785" w:customStyle="1">
    <w:name w:val="1 - Поглавље Char"/>
    <w:basedOn w:val="724"/>
    <w:link w:val="784"/>
    <w:pPr>
      <w:pBdr/>
      <w:spacing/>
      <w:ind/>
    </w:pPr>
    <w:rPr>
      <w:rFonts w:ascii="Times New Roman" w:hAnsi="Times New Roman" w:eastAsia="Times New Roman" w:cs="Times New Roman"/>
      <w:b/>
      <w:iCs/>
      <w:sz w:val="20"/>
      <w:szCs w:val="20"/>
      <w:lang w:val="sr-Latn-CS"/>
    </w:rPr>
  </w:style>
  <w:style w:type="paragraph" w:styleId="786" w:customStyle="1">
    <w:name w:val="0 - Текст рада"/>
    <w:basedOn w:val="714"/>
    <w:link w:val="787"/>
    <w:qFormat/>
    <w:pPr>
      <w:pBdr/>
      <w:spacing w:before="0"/>
      <w:ind w:firstLine="0"/>
    </w:pPr>
    <w:rPr>
      <w:rFonts w:eastAsia="Times New Roman"/>
      <w:lang w:val="sr-Latn-CS"/>
    </w:rPr>
  </w:style>
  <w:style w:type="character" w:styleId="787" w:customStyle="1">
    <w:name w:val="0 - Текст рада Char"/>
    <w:basedOn w:val="724"/>
    <w:link w:val="786"/>
    <w:pPr>
      <w:pBdr/>
      <w:spacing/>
      <w:ind/>
    </w:pPr>
    <w:rPr>
      <w:rFonts w:eastAsia="Times New Roman"/>
      <w:sz w:val="20"/>
      <w:lang w:val="sr-Latn-CS"/>
    </w:rPr>
  </w:style>
  <w:style w:type="paragraph" w:styleId="788" w:customStyle="1">
    <w:name w:val="2 - Подпоглавље"/>
    <w:next w:val="784"/>
    <w:link w:val="789"/>
    <w:qFormat/>
    <w:pPr>
      <w:numPr>
        <w:ilvl w:val="1"/>
        <w:numId w:val="7"/>
      </w:numPr>
      <w:pBdr/>
      <w:spacing w:after="120" w:before="120"/>
      <w:ind/>
    </w:pPr>
    <w:rPr>
      <w:rFonts w:ascii="Times New Roman" w:hAnsi="Times New Roman" w:eastAsia="Times New Roman" w:cs="Times New Roman"/>
      <w:b/>
      <w:iCs/>
      <w:sz w:val="20"/>
      <w:szCs w:val="20"/>
      <w:lang w:val="sr-Latn-CS"/>
    </w:rPr>
  </w:style>
  <w:style w:type="character" w:styleId="789" w:customStyle="1">
    <w:name w:val="2 - Подпоглавље Char"/>
    <w:basedOn w:val="724"/>
    <w:link w:val="788"/>
    <w:pPr>
      <w:pBdr/>
      <w:spacing/>
      <w:ind/>
    </w:pPr>
    <w:rPr>
      <w:rFonts w:ascii="Times New Roman" w:hAnsi="Times New Roman" w:eastAsia="Times New Roman" w:cs="Times New Roman"/>
      <w:b/>
      <w:iCs/>
      <w:sz w:val="20"/>
      <w:szCs w:val="20"/>
      <w:lang w:val="sr-Latn-CS"/>
    </w:rPr>
  </w:style>
  <w:style w:type="numbering" w:styleId="790" w:customStyle="1">
    <w:name w:val="Poglavlja"/>
    <w:uiPriority w:val="99"/>
    <w:pPr>
      <w:numPr>
        <w:numId w:val="4"/>
      </w:numPr>
      <w:pBdr/>
      <w:spacing/>
      <w:ind/>
    </w:pPr>
  </w:style>
  <w:style w:type="paragraph" w:styleId="791" w:customStyle="1">
    <w:name w:val="3 - Математичке формуле"/>
    <w:basedOn w:val="714"/>
    <w:link w:val="792"/>
    <w:qFormat/>
    <w:pPr>
      <w:pBdr/>
      <w:spacing/>
      <w:ind/>
    </w:pPr>
    <w:rPr>
      <w:rFonts w:ascii="Cambria Math" w:hAnsi="Cambria Math" w:eastAsia="Times New Roman" w:cs="Times New Roman"/>
      <w:i/>
      <w:iCs/>
      <w:szCs w:val="20"/>
      <w:lang w:val="en-US"/>
    </w:rPr>
  </w:style>
  <w:style w:type="character" w:styleId="792" w:customStyle="1">
    <w:name w:val="3 - Математичке формуле Char"/>
    <w:basedOn w:val="724"/>
    <w:link w:val="791"/>
    <w:pPr>
      <w:pBdr/>
      <w:spacing/>
      <w:ind/>
    </w:pPr>
    <w:rPr>
      <w:rFonts w:ascii="Cambria Math" w:hAnsi="Cambria Math" w:eastAsia="Times New Roman" w:cs="Times New Roman"/>
      <w:i/>
      <w:iCs/>
      <w:sz w:val="20"/>
      <w:szCs w:val="20"/>
      <w:lang w:val="en-US"/>
    </w:rPr>
  </w:style>
  <w:style w:type="paragraph" w:styleId="793" w:customStyle="1">
    <w:name w:val="91 - Биографија"/>
    <w:basedOn w:val="714"/>
    <w:link w:val="794"/>
    <w:qFormat/>
    <w:pPr>
      <w:pBdr/>
      <w:spacing w:before="0"/>
      <w:ind w:firstLine="0"/>
      <w:jc w:val="left"/>
    </w:pPr>
    <w:rPr>
      <w:rFonts w:ascii="Times New Roman" w:hAnsi="Times New Roman" w:eastAsia="Times New Roman" w:cs="Times New Roman"/>
      <w:iCs/>
      <w:sz w:val="18"/>
      <w:szCs w:val="18"/>
      <w:lang w:val="sl-SI"/>
    </w:rPr>
  </w:style>
  <w:style w:type="character" w:styleId="794" w:customStyle="1">
    <w:name w:val="91 - Биографија Char"/>
    <w:basedOn w:val="724"/>
    <w:link w:val="793"/>
    <w:pPr>
      <w:pBdr/>
      <w:spacing/>
      <w:ind/>
    </w:pPr>
    <w:rPr>
      <w:rFonts w:ascii="Times New Roman" w:hAnsi="Times New Roman" w:eastAsia="Times New Roman" w:cs="Times New Roman"/>
      <w:iCs/>
      <w:sz w:val="18"/>
      <w:szCs w:val="18"/>
      <w:lang w:val="sl-SI"/>
    </w:rPr>
  </w:style>
  <w:style w:type="paragraph" w:styleId="795" w:customStyle="1">
    <w:name w:val="Литература"/>
    <w:basedOn w:val="714"/>
    <w:link w:val="796"/>
    <w:qFormat/>
    <w:pPr>
      <w:pBdr/>
      <w:spacing/>
      <w:ind w:hanging="284" w:left="284"/>
      <w:jc w:val="left"/>
    </w:pPr>
    <w:rPr>
      <w:rFonts w:ascii="Times New Roman" w:hAnsi="Times New Roman" w:eastAsia="Times New Roman" w:cs="Times New Roman"/>
      <w:iCs/>
      <w:szCs w:val="20"/>
      <w:lang w:val="sr-Latn-CS"/>
    </w:rPr>
  </w:style>
  <w:style w:type="character" w:styleId="796" w:customStyle="1">
    <w:name w:val="Литература Char"/>
    <w:basedOn w:val="724"/>
    <w:link w:val="795"/>
    <w:pPr>
      <w:pBdr/>
      <w:spacing/>
      <w:ind/>
    </w:pPr>
    <w:rPr>
      <w:rFonts w:ascii="Times New Roman" w:hAnsi="Times New Roman" w:eastAsia="Times New Roman" w:cs="Times New Roman"/>
      <w:iCs/>
      <w:sz w:val="20"/>
      <w:szCs w:val="20"/>
      <w:lang w:val="sr-Latn-CS"/>
    </w:rPr>
  </w:style>
  <w:style w:type="paragraph" w:styleId="797">
    <w:name w:val="Header"/>
    <w:basedOn w:val="714"/>
    <w:link w:val="798"/>
    <w:uiPriority w:val="99"/>
    <w:unhideWhenUsed/>
    <w:pPr>
      <w:pBdr/>
      <w:tabs>
        <w:tab w:val="center" w:leader="none" w:pos="4680"/>
        <w:tab w:val="right" w:leader="none" w:pos="9360"/>
      </w:tabs>
      <w:spacing w:before="0"/>
      <w:ind/>
    </w:pPr>
  </w:style>
  <w:style w:type="character" w:styleId="798" w:customStyle="1">
    <w:name w:val="Header Char"/>
    <w:basedOn w:val="724"/>
    <w:link w:val="797"/>
    <w:uiPriority w:val="99"/>
    <w:pPr>
      <w:pBdr/>
      <w:spacing/>
      <w:ind/>
    </w:pPr>
    <w:rPr>
      <w:sz w:val="20"/>
    </w:rPr>
  </w:style>
  <w:style w:type="paragraph" w:styleId="799">
    <w:name w:val="Footer"/>
    <w:basedOn w:val="714"/>
    <w:link w:val="800"/>
    <w:uiPriority w:val="99"/>
    <w:unhideWhenUsed/>
    <w:pPr>
      <w:pBdr/>
      <w:tabs>
        <w:tab w:val="center" w:leader="none" w:pos="4680"/>
        <w:tab w:val="right" w:leader="none" w:pos="9360"/>
      </w:tabs>
      <w:spacing w:before="0"/>
      <w:ind/>
    </w:pPr>
  </w:style>
  <w:style w:type="character" w:styleId="800" w:customStyle="1">
    <w:name w:val="Footer Char"/>
    <w:basedOn w:val="724"/>
    <w:link w:val="799"/>
    <w:uiPriority w:val="99"/>
    <w:pPr>
      <w:pBdr/>
      <w:spacing/>
      <w:ind/>
    </w:pPr>
    <w:rPr>
      <w:sz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mailto:al.stojanovic0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zbornik font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B3A7C30A-A28F-425C-A502-B23E573D3C8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Зборник-Александар-Стојановић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win7Iput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Aleksandar</dc:creator>
  <cp:revision>2</cp:revision>
  <dcterms:created xsi:type="dcterms:W3CDTF">2026-07-09T20:22:00Z</dcterms:created>
  <dcterms:modified xsi:type="dcterms:W3CDTF">2026-07-12T20:09:37Z</dcterms:modified>
</cp:coreProperties>
</file>