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C87" w:rsidRPr="004B6C87" w:rsidRDefault="004B6C87" w:rsidP="004B6C87">
      <w:pPr>
        <w:spacing w:before="180" w:after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b/>
          <w:bCs/>
          <w:color w:val="1A1A2E"/>
          <w:sz w:val="33"/>
          <w:szCs w:val="33"/>
        </w:rPr>
        <w:t>THE FORGE — FINANCIAL PROJECTIONS</w:t>
      </w:r>
    </w:p>
    <w:p w:rsidR="004B6C87" w:rsidRPr="004B6C87" w:rsidRDefault="004B6C87" w:rsidP="004B6C87">
      <w:pPr>
        <w:pBdr>
          <w:bottom w:val="single" w:sz="6" w:space="0" w:color="C9A84C"/>
        </w:pBdr>
        <w:spacing w:after="24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color w:val="0F3460"/>
          <w:sz w:val="18"/>
          <w:szCs w:val="18"/>
        </w:rPr>
        <w:t>Conservative Estimates | Year 1 (2026)</w:t>
      </w:r>
    </w:p>
    <w:p w:rsidR="004B6C87" w:rsidRPr="004B6C87" w:rsidRDefault="004B6C87" w:rsidP="004B6C87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b/>
          <w:bCs/>
          <w:color w:val="0F3460"/>
          <w:sz w:val="21"/>
          <w:szCs w:val="21"/>
        </w:rPr>
        <w:t>Key Performance Targets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Annual visitors: 240–360 guests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Tours: 20 tours @ 12–18 participants each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Conversion rate (Breath Circle to Tour): 35–45%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Repeat rate target: 70%+ (vs. 20% industry average)</w:t>
      </w:r>
    </w:p>
    <w:p w:rsidR="004B6C87" w:rsidRPr="004B6C87" w:rsidRDefault="004B6C87" w:rsidP="004B6C8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B6C87" w:rsidRPr="004B6C87" w:rsidRDefault="004B6C87" w:rsidP="004B6C87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b/>
          <w:bCs/>
          <w:color w:val="0F3460"/>
          <w:sz w:val="21"/>
          <w:szCs w:val="21"/>
        </w:rPr>
        <w:t>Revenue Streams</w:t>
      </w:r>
    </w:p>
    <w:p w:rsidR="004B6C87" w:rsidRPr="004B6C87" w:rsidRDefault="004B6C87" w:rsidP="004B6C8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b/>
          <w:bCs/>
          <w:color w:val="1A1A2E"/>
          <w:sz w:val="18"/>
          <w:szCs w:val="18"/>
        </w:rPr>
        <w:t>Transformation Tours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Price: $800–$1,800 per person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Conservative revenue (240 guests @ $800): $192,000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Strong revenue (360 guests @ $1,800): $648,000</w:t>
      </w:r>
    </w:p>
    <w:p w:rsidR="004B6C87" w:rsidRPr="004B6C87" w:rsidRDefault="004B6C87" w:rsidP="004B6C8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B6C87" w:rsidRPr="004B6C87" w:rsidRDefault="004B6C87" w:rsidP="004B6C8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b/>
          <w:bCs/>
          <w:color w:val="1A1A2E"/>
          <w:sz w:val="18"/>
          <w:szCs w:val="18"/>
        </w:rPr>
        <w:t>Breath Circles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Price: $33/month per member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100 active members: $39,600/year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Primary conversion funnel into Tour bookings</w:t>
      </w:r>
    </w:p>
    <w:p w:rsidR="004B6C87" w:rsidRPr="004B6C87" w:rsidRDefault="004B6C87" w:rsidP="004B6C8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B6C87" w:rsidRPr="004B6C87" w:rsidRDefault="004B6C87" w:rsidP="004B6C8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b/>
          <w:bCs/>
          <w:color w:val="1A1A2E"/>
          <w:sz w:val="18"/>
          <w:szCs w:val="18"/>
        </w:rPr>
        <w:t>Permaculture Residency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Extended stay programming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Revenue model: TBD (Year 2 formal launch)</w:t>
      </w:r>
    </w:p>
    <w:p w:rsidR="004B6C87" w:rsidRPr="004B6C87" w:rsidRDefault="004B6C87" w:rsidP="004B6C87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B6C87" w:rsidRPr="004B6C87" w:rsidRDefault="004B6C87" w:rsidP="004B6C87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b/>
          <w:bCs/>
          <w:color w:val="1A1A2E"/>
          <w:sz w:val="18"/>
          <w:szCs w:val="18"/>
        </w:rPr>
        <w:t>Valor Token Marketplace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Community economy for Node members</w:t>
      </w:r>
    </w:p>
    <w:p w:rsidR="004B6C87" w:rsidRPr="004B6C87" w:rsidRDefault="004B6C87" w:rsidP="004B6C87">
      <w:pPr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• </w:t>
      </w:r>
      <w:r w:rsidRPr="004B6C87">
        <w:rPr>
          <w:rFonts w:ascii="Arial" w:eastAsia="Times New Roman" w:hAnsi="Arial" w:cs="Arial"/>
          <w:color w:val="2C2C2C"/>
          <w:sz w:val="17"/>
          <w:szCs w:val="17"/>
        </w:rPr>
        <w:t>Revenue model: TBD (Year 2 formal launch)</w:t>
      </w:r>
    </w:p>
    <w:p w:rsidR="004B6C87" w:rsidRPr="004B6C87" w:rsidRDefault="004B6C87" w:rsidP="004B6C8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B6C87" w:rsidRPr="004B6C87" w:rsidRDefault="004B6C87" w:rsidP="004B6C87">
      <w:pPr>
        <w:spacing w:before="150" w:after="150" w:line="216" w:lineRule="atLeast"/>
        <w:ind w:left="270" w:right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b/>
          <w:bCs/>
          <w:i/>
          <w:iCs/>
          <w:color w:val="0F3460"/>
          <w:sz w:val="18"/>
          <w:szCs w:val="18"/>
        </w:rPr>
        <w:t>Year 1 conservative total revenue range: $231,600–$687,600. Upside significant as community scales.</w:t>
      </w:r>
    </w:p>
    <w:p w:rsidR="004B6C87" w:rsidRPr="004B6C87" w:rsidRDefault="004B6C87" w:rsidP="004B6C87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4B6C87" w:rsidRPr="004B6C87" w:rsidRDefault="004B6C87" w:rsidP="004B6C87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b/>
          <w:bCs/>
          <w:color w:val="0F3460"/>
          <w:sz w:val="21"/>
          <w:szCs w:val="21"/>
        </w:rPr>
        <w:t>Why the Model Is Defensible</w:t>
      </w:r>
    </w:p>
    <w:p w:rsidR="004B6C87" w:rsidRPr="004B6C87" w:rsidRDefault="004B6C87" w:rsidP="004B6C87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4B6C87">
        <w:rPr>
          <w:rFonts w:ascii="Arial" w:eastAsia="Times New Roman" w:hAnsi="Arial" w:cs="Arial"/>
          <w:color w:val="2C2C2C"/>
          <w:sz w:val="17"/>
          <w:szCs w:val="17"/>
        </w:rPr>
        <w:t>The 70%+ repeat rate target is the financial engine. At 20% repeat (industry average), every year requires full re-acquisition of guests. At 70%+, the community becomes self-sustaining and the cost of acquisition drops dramatically over time. The Node and Breath Circle are not just community features — they are the financial moat.</w:t>
      </w:r>
    </w:p>
    <w:p w:rsidR="00AD4A0B" w:rsidRDefault="004B6C87">
      <w:bookmarkStart w:id="0" w:name="_GoBack"/>
      <w:bookmarkEnd w:id="0"/>
    </w:p>
    <w:sectPr w:rsidR="00AD4A0B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87"/>
    <w:rsid w:val="000E44CB"/>
    <w:rsid w:val="004B6C87"/>
    <w:rsid w:val="0058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9B44E"/>
  <w15:chartTrackingRefBased/>
  <w15:docId w15:val="{921A0199-7B7D-104C-BC13-BE4FC8DF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4B6C87"/>
  </w:style>
  <w:style w:type="paragraph" w:customStyle="1" w:styleId="s5">
    <w:name w:val="s5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">
    <w:name w:val="s4"/>
    <w:basedOn w:val="DefaultParagraphFont"/>
    <w:rsid w:val="004B6C87"/>
  </w:style>
  <w:style w:type="paragraph" w:customStyle="1" w:styleId="s7">
    <w:name w:val="s7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6">
    <w:name w:val="s6"/>
    <w:basedOn w:val="DefaultParagraphFont"/>
    <w:rsid w:val="004B6C87"/>
  </w:style>
  <w:style w:type="paragraph" w:styleId="NormalWeb">
    <w:name w:val="Normal (Web)"/>
    <w:basedOn w:val="Normal"/>
    <w:uiPriority w:val="99"/>
    <w:semiHidden/>
    <w:unhideWhenUsed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9">
    <w:name w:val="s9"/>
    <w:basedOn w:val="DefaultParagraphFont"/>
    <w:rsid w:val="004B6C87"/>
  </w:style>
  <w:style w:type="character" w:customStyle="1" w:styleId="s11">
    <w:name w:val="s11"/>
    <w:basedOn w:val="DefaultParagraphFont"/>
    <w:rsid w:val="004B6C87"/>
  </w:style>
  <w:style w:type="character" w:customStyle="1" w:styleId="s13">
    <w:name w:val="s13"/>
    <w:basedOn w:val="DefaultParagraphFont"/>
    <w:rsid w:val="004B6C87"/>
  </w:style>
  <w:style w:type="paragraph" w:customStyle="1" w:styleId="s16">
    <w:name w:val="s16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8">
    <w:name w:val="s18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7">
    <w:name w:val="s17"/>
    <w:basedOn w:val="DefaultParagraphFont"/>
    <w:rsid w:val="004B6C87"/>
  </w:style>
  <w:style w:type="paragraph" w:customStyle="1" w:styleId="s20">
    <w:name w:val="s20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9">
    <w:name w:val="s19"/>
    <w:basedOn w:val="DefaultParagraphFont"/>
    <w:rsid w:val="004B6C87"/>
  </w:style>
  <w:style w:type="paragraph" w:customStyle="1" w:styleId="s21">
    <w:name w:val="s21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23">
    <w:name w:val="s23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2">
    <w:name w:val="s22"/>
    <w:basedOn w:val="DefaultParagraphFont"/>
    <w:rsid w:val="004B6C87"/>
  </w:style>
  <w:style w:type="character" w:customStyle="1" w:styleId="apple-converted-space">
    <w:name w:val="apple-converted-space"/>
    <w:basedOn w:val="DefaultParagraphFont"/>
    <w:rsid w:val="004B6C87"/>
  </w:style>
  <w:style w:type="character" w:customStyle="1" w:styleId="s8">
    <w:name w:val="s8"/>
    <w:basedOn w:val="DefaultParagraphFont"/>
    <w:rsid w:val="004B6C87"/>
  </w:style>
  <w:style w:type="paragraph" w:customStyle="1" w:styleId="s10">
    <w:name w:val="s10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2">
    <w:name w:val="s12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5">
    <w:name w:val="s15"/>
    <w:basedOn w:val="Normal"/>
    <w:rsid w:val="004B6C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4">
    <w:name w:val="s14"/>
    <w:basedOn w:val="DefaultParagraphFont"/>
    <w:rsid w:val="004B6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5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78610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3526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33129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2919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8437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6813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8478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8191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4655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3442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5068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5135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097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3437">
          <w:marLeft w:val="54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2026-02-25T20:38:00Z</dcterms:created>
  <dcterms:modified xsi:type="dcterms:W3CDTF">2026-02-25T20:40:00Z</dcterms:modified>
</cp:coreProperties>
</file>