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05C5" w14:textId="77777777" w:rsidR="007321C3" w:rsidRPr="00B631F6" w:rsidRDefault="00000000">
      <w:pPr>
        <w:pStyle w:val="Title"/>
        <w:rPr>
          <w:color w:val="000000" w:themeColor="text1"/>
        </w:rPr>
      </w:pPr>
      <w:r w:rsidRPr="00B631F6">
        <w:rPr>
          <w:color w:val="000000" w:themeColor="text1"/>
        </w:rPr>
        <w:t>Predicting Community-Level Illness in Massachusetts Using Demographic and Civil Variables</w:t>
      </w:r>
    </w:p>
    <w:p w14:paraId="5C744502" w14:textId="77777777" w:rsidR="007321C3" w:rsidRDefault="00000000">
      <w:r>
        <w:t>Authors:</w:t>
      </w:r>
      <w:r>
        <w:br/>
        <w:t>Joshua Stoltzfus, Derrick Toussaint</w:t>
      </w:r>
    </w:p>
    <w:p w14:paraId="738853E3" w14:textId="77777777" w:rsidR="007321C3" w:rsidRDefault="00000000">
      <w:r>
        <w:t>Each author contributed equally to the design, coding &amp; development, analysis, and writing of this project.</w:t>
      </w:r>
    </w:p>
    <w:p w14:paraId="50071676" w14:textId="77777777" w:rsidR="007321C3" w:rsidRDefault="00000000">
      <w:r>
        <w:t>Date: December 2025</w:t>
      </w:r>
    </w:p>
    <w:p w14:paraId="3AF59565" w14:textId="77777777" w:rsidR="007321C3" w:rsidRPr="00332FBA" w:rsidRDefault="00000000" w:rsidP="00332FBA">
      <w:pPr>
        <w:pStyle w:val="Heading1"/>
        <w:spacing w:line="480" w:lineRule="auto"/>
        <w:rPr>
          <w:color w:val="000000" w:themeColor="text1"/>
        </w:rPr>
      </w:pPr>
      <w:r w:rsidRPr="00332FBA">
        <w:rPr>
          <w:color w:val="000000" w:themeColor="text1"/>
        </w:rPr>
        <w:t>Abstract</w:t>
      </w:r>
    </w:p>
    <w:p w14:paraId="7A710613" w14:textId="77777777" w:rsidR="007321C3" w:rsidRDefault="00000000" w:rsidP="00332FBA">
      <w:pPr>
        <w:spacing w:line="480" w:lineRule="auto"/>
      </w:pPr>
      <w:r>
        <w:t>Chronic illness is unevenly distributed across communities, often reflecting underlying socioeconomic and structural conditions rather than individual behaviors alone. This project investigates whether demographic and civil variables—such as income, education, insurance coverage, and access to healthcare—can predict community-level illness prevalence across ZIP codes in Massachusetts. Using the 2019 Social Determinants of Health dataset from the Agency for Healthcare Research and Quality, we engineered multiple representations of illness burden and applied a combination of unsupervised and supervised machine learning techniques. Principal Component Analysis revealed two dominant dimensions of illness: a biological severity component and a socioeconomic–behavioral health component. A tuned Random Forest model predicting the socioeconomic dimension achieved strong generalization performance, demonstrating that social conditions are highly predictive of certain patterns of community illness.</w:t>
      </w:r>
    </w:p>
    <w:p w14:paraId="5D03048E" w14:textId="77777777" w:rsidR="007321C3" w:rsidRDefault="00000000" w:rsidP="00332FBA">
      <w:pPr>
        <w:spacing w:line="480" w:lineRule="auto"/>
      </w:pPr>
      <w:r>
        <w:t xml:space="preserve">Beyond predictive performance, this analysis emphasizes interpretability and methodological rigor to ensure findings are actionable and trustworthy. Rather than </w:t>
      </w:r>
      <w:r>
        <w:lastRenderedPageBreak/>
        <w:t>treating illness as a single outcome, we explicitly model distinct dimensions of health burden to better align results with real-world policy use cases. The modeling pipeline was designed to balance complexity with transparency, allowing stakeholders to understand both what the model predicts and why. Our results suggest that community-level health disparities are deeply rooted in structural conditions that are measurable and predictable using publicly available data. Importantly, this work demonstrates how unsupervised and supervised learning techniques can be combined to uncover nuanced patterns in population health. These insights can inform more targeted, equitable public health strategies across Massachusetts communities.</w:t>
      </w:r>
    </w:p>
    <w:p w14:paraId="57D2ACF4" w14:textId="77777777" w:rsidR="007321C3" w:rsidRPr="00332FBA" w:rsidRDefault="00000000" w:rsidP="00332FBA">
      <w:pPr>
        <w:pStyle w:val="Heading1"/>
        <w:spacing w:line="480" w:lineRule="auto"/>
        <w:rPr>
          <w:color w:val="000000" w:themeColor="text1"/>
        </w:rPr>
      </w:pPr>
      <w:r w:rsidRPr="00332FBA">
        <w:rPr>
          <w:color w:val="000000" w:themeColor="text1"/>
        </w:rPr>
        <w:t>Background &amp; Research Question</w:t>
      </w:r>
    </w:p>
    <w:p w14:paraId="4841DFA9" w14:textId="77777777" w:rsidR="007321C3" w:rsidRDefault="00000000" w:rsidP="00332FBA">
      <w:pPr>
        <w:spacing w:line="480" w:lineRule="auto"/>
      </w:pPr>
      <w:r>
        <w:t>Health outcomes are shaped not only by biology and individual behavior, but also by broader social and structural conditions commonly referred to as Social Determinants of Health (SDOH). Factors such as income, education, insurance coverage, housing stability, and access to medical care have been repeatedly shown to influence morbidity and mortality at the population level. Communities experiencing socioeconomic disadvantage often face compounding risks that manifest as higher chronic illness prevalence and reduced life expectancy.</w:t>
      </w:r>
    </w:p>
    <w:p w14:paraId="222E3A20" w14:textId="77777777" w:rsidR="007321C3" w:rsidRDefault="00000000" w:rsidP="00332FBA">
      <w:pPr>
        <w:spacing w:line="480" w:lineRule="auto"/>
      </w:pPr>
      <w:r>
        <w:t xml:space="preserve">From a data science perspective, community-level modeling offers a valuable lens for studying health outcomes that are influenced by shared environments and systemic conditions. ZIP codes function as meaningful analytic units because they aggregate populations exposed to similar economic, infrastructural, and policy contexts. While individual-level data may capture clinical nuance, it often obscures structural patterns essential for policy intervention. By focusing on demographic and civil variables, this </w:t>
      </w:r>
      <w:r>
        <w:lastRenderedPageBreak/>
        <w:t>project prioritizes explanatory factors that are actionable at the community and institutional level. This framing positions the analysis at the intersection of data science, public policy, and population health.</w:t>
      </w:r>
    </w:p>
    <w:p w14:paraId="6278AE65" w14:textId="77777777" w:rsidR="007321C3" w:rsidRDefault="00000000" w:rsidP="00332FBA">
      <w:pPr>
        <w:spacing w:line="480" w:lineRule="auto"/>
      </w:pPr>
      <w:r>
        <w:t>Research Question: To what extent can demographic and civil variables predict medical illness prevalence across Massachusetts ZIP codes? We hypothesize that ZIP codes with lower income, lower educational attainment, higher population density, and reduced access to healthcare will exhibit higher illness burden.</w:t>
      </w:r>
    </w:p>
    <w:p w14:paraId="4AC7518D" w14:textId="77777777" w:rsidR="007321C3" w:rsidRPr="00332FBA" w:rsidRDefault="00000000" w:rsidP="00332FBA">
      <w:pPr>
        <w:pStyle w:val="Heading1"/>
        <w:spacing w:line="480" w:lineRule="auto"/>
        <w:rPr>
          <w:color w:val="000000" w:themeColor="text1"/>
        </w:rPr>
      </w:pPr>
      <w:r w:rsidRPr="00332FBA">
        <w:rPr>
          <w:color w:val="000000" w:themeColor="text1"/>
        </w:rPr>
        <w:t>Data</w:t>
      </w:r>
    </w:p>
    <w:p w14:paraId="5B906789" w14:textId="77777777" w:rsidR="007321C3" w:rsidRDefault="00000000" w:rsidP="00332FBA">
      <w:pPr>
        <w:spacing w:line="480" w:lineRule="auto"/>
      </w:pPr>
      <w:r>
        <w:t>This analysis uses the 2019 Social Determinants of Health dataset published by the Agency for Healthcare Research and Quality (AHRQ). The dataset was filtered to Massachusetts ZIP codes and includes community-level indicators related to demographics, income, education, insurance coverage, healthcare access, and chronic illness prevalence. These data are well-suited to the research question because they provide geographically granular, policy-relevant measures of both predictors and outcomes.</w:t>
      </w:r>
    </w:p>
    <w:p w14:paraId="4DE0E064" w14:textId="77777777" w:rsidR="007321C3" w:rsidRDefault="00000000" w:rsidP="00332FBA">
      <w:pPr>
        <w:spacing w:line="480" w:lineRule="auto"/>
      </w:pPr>
      <w:r>
        <w:t>Although the AHRQ SDOH dataset is comprehensive, it is not without limitations that influence analytic decisions. The data are cross-sectional, representing a snapshot in time rather than longitudinal trends, which constrains causal inference. ZIP-code aggregation can mask within-community heterogeneity, particularly in geographically large or diverse ZIP codes. Despite these limitations, the dataset remains appropriate for exploratory and predictive modeling of structural health patterns. Its standardized construction allows for consistent comparisons across communities and variables.</w:t>
      </w:r>
    </w:p>
    <w:p w14:paraId="470D2C34" w14:textId="77777777" w:rsidR="007321C3" w:rsidRPr="00332FBA" w:rsidRDefault="00000000" w:rsidP="00332FBA">
      <w:pPr>
        <w:pStyle w:val="Heading1"/>
        <w:spacing w:line="480" w:lineRule="auto"/>
        <w:rPr>
          <w:color w:val="000000" w:themeColor="text1"/>
        </w:rPr>
      </w:pPr>
      <w:r w:rsidRPr="00332FBA">
        <w:rPr>
          <w:color w:val="000000" w:themeColor="text1"/>
        </w:rPr>
        <w:lastRenderedPageBreak/>
        <w:t>Models</w:t>
      </w:r>
    </w:p>
    <w:p w14:paraId="5F65927E" w14:textId="77777777" w:rsidR="007321C3" w:rsidRDefault="00000000" w:rsidP="00332FBA">
      <w:pPr>
        <w:spacing w:line="480" w:lineRule="auto"/>
      </w:pPr>
      <w:r>
        <w:t>Preprocessing included removal of high-missingness variables, median imputation for remaining missing values, and z-score standardization of all numeric predictors. Principal Component Analysis was applied to chronic illness indicators, yielding two dominant components: PC1 representing biological illness severity and PC2 representing socioeconomic and behavioral health patterns. Random Forest Regression was selected as the primary supervised learning algorithm due to its robustness to multicollinearity, nonlinearity, and complex feature interactions.</w:t>
      </w:r>
    </w:p>
    <w:p w14:paraId="56B1D02D" w14:textId="77777777" w:rsidR="007321C3" w:rsidRDefault="00000000" w:rsidP="00332FBA">
      <w:pPr>
        <w:spacing w:line="480" w:lineRule="auto"/>
      </w:pPr>
      <w:r>
        <w:t>Multiple preprocessing and modeling strategies were evaluated to ensure robustness and methodological soundness. Dimensionality reduction was particularly important given the high correlation among chronic illness indicators. PCA was selected not only for variance reduction but also for its interpretability in identifying latent health dimensions. The decision to prioritize Random Forests over linear models was driven by nonlinear relationships and interaction effects observed during exploratory analysis.</w:t>
      </w:r>
    </w:p>
    <w:p w14:paraId="7E8C3778" w14:textId="77777777" w:rsidR="007321C3" w:rsidRPr="00332FBA" w:rsidRDefault="00000000" w:rsidP="00332FBA">
      <w:pPr>
        <w:pStyle w:val="Heading1"/>
        <w:spacing w:line="480" w:lineRule="auto"/>
        <w:rPr>
          <w:color w:val="000000" w:themeColor="text1"/>
        </w:rPr>
      </w:pPr>
      <w:r w:rsidRPr="00332FBA">
        <w:rPr>
          <w:color w:val="000000" w:themeColor="text1"/>
        </w:rPr>
        <w:t>Final Model and Evaluation</w:t>
      </w:r>
    </w:p>
    <w:p w14:paraId="6438F0BA" w14:textId="77777777" w:rsidR="007321C3" w:rsidRDefault="00000000" w:rsidP="00332FBA">
      <w:pPr>
        <w:spacing w:line="480" w:lineRule="auto"/>
      </w:pPr>
      <w:r>
        <w:t>The tuned Random Forest model predicting PC2 achieved the strongest performance, with cross-validated R² of approximately 0.899 and test-set R² of 0.923. Feature importance analysis showed that median household income, poverty indicators, insurance coverage, and public assistance were the dominant predictors. Models predicting PC1 performed less strongly, indicating that biological illness severity is influenced by factors beyond the available socioeconomic variables.</w:t>
      </w:r>
    </w:p>
    <w:p w14:paraId="7777EC41" w14:textId="77777777" w:rsidR="007321C3" w:rsidRDefault="00000000" w:rsidP="00332FBA">
      <w:pPr>
        <w:spacing w:line="480" w:lineRule="auto"/>
      </w:pPr>
      <w:r>
        <w:t xml:space="preserve">The strong performance of the PC2 model highlights the predictive power of socioeconomic variables when modeling access-related and behavioral health outcomes. Feature </w:t>
      </w:r>
      <w:r>
        <w:lastRenderedPageBreak/>
        <w:t>importance rankings were stable across validation folds, suggesting that results were not driven by sampling artifacts. The modest gap between training and testing performance indicates effective control of overfitting. In contrast, weaker PC1 performance underscores the limits of demographic proxies for biological illness processes.</w:t>
      </w:r>
    </w:p>
    <w:p w14:paraId="4EAF6DE7" w14:textId="77777777" w:rsidR="007321C3" w:rsidRPr="00332FBA" w:rsidRDefault="00000000" w:rsidP="00332FBA">
      <w:pPr>
        <w:pStyle w:val="Heading1"/>
        <w:spacing w:line="480" w:lineRule="auto"/>
        <w:rPr>
          <w:color w:val="000000" w:themeColor="text1"/>
        </w:rPr>
      </w:pPr>
      <w:r w:rsidRPr="00332FBA">
        <w:rPr>
          <w:color w:val="000000" w:themeColor="text1"/>
        </w:rPr>
        <w:t>Conclusions</w:t>
      </w:r>
    </w:p>
    <w:p w14:paraId="3B180D29" w14:textId="77777777" w:rsidR="007321C3" w:rsidRDefault="00000000" w:rsidP="00332FBA">
      <w:pPr>
        <w:spacing w:line="480" w:lineRule="auto"/>
      </w:pPr>
      <w:r>
        <w:t>This project demonstrates that socioeconomic and civil variables can meaningfully predict certain dimensions of community-level illness across Massachusetts ZIP codes. Structural determinants such as income and insurance coverage strongly shape socioeconomic health patterns, while biological illness severity remains more difficult to predict.</w:t>
      </w:r>
    </w:p>
    <w:p w14:paraId="24BDBA5C" w14:textId="77777777" w:rsidR="007321C3" w:rsidRDefault="00000000" w:rsidP="00332FBA">
      <w:pPr>
        <w:spacing w:line="480" w:lineRule="auto"/>
      </w:pPr>
      <w:r>
        <w:t>Taken together, the results provide strong empirical support for the hypothesis that social determinants play a dominant role in shaping community health. The distinction between illness dimensions emphasizes the importance of aligning modeling goals with underlying mechanisms. From a data science standpoint, this project highlights the value of thoughtful outcome construction and rigorous evaluation.</w:t>
      </w:r>
    </w:p>
    <w:p w14:paraId="1DA31472" w14:textId="77777777" w:rsidR="007321C3" w:rsidRPr="00332FBA" w:rsidRDefault="00000000" w:rsidP="00332FBA">
      <w:pPr>
        <w:pStyle w:val="Heading1"/>
        <w:spacing w:line="480" w:lineRule="auto"/>
        <w:rPr>
          <w:color w:val="000000" w:themeColor="text1"/>
        </w:rPr>
      </w:pPr>
      <w:r w:rsidRPr="00332FBA">
        <w:rPr>
          <w:color w:val="000000" w:themeColor="text1"/>
        </w:rPr>
        <w:t>Discussion &amp; Next Steps</w:t>
      </w:r>
    </w:p>
    <w:p w14:paraId="145415A9" w14:textId="77777777" w:rsidR="007321C3" w:rsidRDefault="00000000" w:rsidP="00332FBA">
      <w:pPr>
        <w:spacing w:line="480" w:lineRule="auto"/>
      </w:pPr>
      <w:r>
        <w:t>Future work could extend this analysis by incorporating longitudinal data, environmental variables, or finer geographic resolution. Interpretability techniques such as SHAP values could further enhance transparency and stakeholder trust. From a policy perspective, the framework developed here can support targeted interventions and equitable resource allocation.</w:t>
      </w:r>
    </w:p>
    <w:p w14:paraId="78CFA95E" w14:textId="77777777" w:rsidR="007321C3" w:rsidRDefault="00000000" w:rsidP="00332FBA">
      <w:pPr>
        <w:spacing w:line="480" w:lineRule="auto"/>
      </w:pPr>
      <w:r>
        <w:t xml:space="preserve">Several opportunities exist to strengthen this work, including testing additional ensemble methods and expanding predictor sets. Ethical considerations, such as the risk of </w:t>
      </w:r>
      <w:r>
        <w:lastRenderedPageBreak/>
        <w:t>reinforcing disparities through predictive models, should remain central. These next steps would build on the current foundation while expanding practical relevance.</w:t>
      </w:r>
    </w:p>
    <w:p w14:paraId="51A16519" w14:textId="77777777" w:rsidR="007321C3" w:rsidRPr="00332FBA" w:rsidRDefault="00000000" w:rsidP="00332FBA">
      <w:pPr>
        <w:pStyle w:val="Heading1"/>
        <w:spacing w:line="480" w:lineRule="auto"/>
        <w:rPr>
          <w:color w:val="000000" w:themeColor="text1"/>
        </w:rPr>
      </w:pPr>
      <w:r w:rsidRPr="00332FBA">
        <w:rPr>
          <w:color w:val="000000" w:themeColor="text1"/>
        </w:rPr>
        <w:t>Code Availability</w:t>
      </w:r>
    </w:p>
    <w:p w14:paraId="37B043C7" w14:textId="77777777" w:rsidR="007321C3" w:rsidRDefault="00000000" w:rsidP="00332FBA">
      <w:pPr>
        <w:spacing w:line="480" w:lineRule="auto"/>
      </w:pPr>
      <w:r>
        <w:t>All code used in this project is available at: https://github.com/toussaintd-web/DSE6311_Repository</w:t>
      </w:r>
    </w:p>
    <w:p w14:paraId="0024FF04" w14:textId="77777777" w:rsidR="007321C3" w:rsidRDefault="00000000" w:rsidP="00332FBA">
      <w:pPr>
        <w:spacing w:line="480" w:lineRule="auto"/>
      </w:pPr>
      <w:r>
        <w:t>The repository contains modular scripts, documentation, and environment specifications to ensure reproducibility. This open approach supports transparency, collaboration, and long-term sustainability of the analysis.</w:t>
      </w:r>
    </w:p>
    <w:sectPr w:rsidR="007321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080332">
    <w:abstractNumId w:val="8"/>
  </w:num>
  <w:num w:numId="2" w16cid:durableId="625282042">
    <w:abstractNumId w:val="6"/>
  </w:num>
  <w:num w:numId="3" w16cid:durableId="111215178">
    <w:abstractNumId w:val="5"/>
  </w:num>
  <w:num w:numId="4" w16cid:durableId="1094979391">
    <w:abstractNumId w:val="4"/>
  </w:num>
  <w:num w:numId="5" w16cid:durableId="967012770">
    <w:abstractNumId w:val="7"/>
  </w:num>
  <w:num w:numId="6" w16cid:durableId="275795227">
    <w:abstractNumId w:val="3"/>
  </w:num>
  <w:num w:numId="7" w16cid:durableId="59713754">
    <w:abstractNumId w:val="2"/>
  </w:num>
  <w:num w:numId="8" w16cid:durableId="1248032709">
    <w:abstractNumId w:val="1"/>
  </w:num>
  <w:num w:numId="9" w16cid:durableId="2433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FBA"/>
    <w:rsid w:val="0048156D"/>
    <w:rsid w:val="007321C3"/>
    <w:rsid w:val="00AA1D8D"/>
    <w:rsid w:val="00B47730"/>
    <w:rsid w:val="00B631F6"/>
    <w:rsid w:val="00CB0664"/>
    <w:rsid w:val="00F81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82D54"/>
  <w14:defaultImageDpi w14:val="300"/>
  <w15:docId w15:val="{16F07DCF-CD07-F34A-853E-D43A0753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Derrick Toussaint</cp:lastModifiedBy>
  <cp:revision>4</cp:revision>
  <dcterms:created xsi:type="dcterms:W3CDTF">2025-12-18T04:54:00Z</dcterms:created>
  <dcterms:modified xsi:type="dcterms:W3CDTF">2025-12-18T04:57:00Z</dcterms:modified>
  <cp:category/>
</cp:coreProperties>
</file>