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Leader: Joshua Stoltzfus</w:t>
      </w:r>
    </w:p>
    <w:p w:rsidR="00000000" w:rsidDel="00000000" w:rsidP="00000000" w:rsidRDefault="00000000" w:rsidRPr="00000000" w14:paraId="00000002">
      <w:pPr>
        <w:spacing w:line="276"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Spokesman: Derrick Toussaint</w:t>
      </w:r>
    </w:p>
    <w:p w:rsidR="00000000" w:rsidDel="00000000" w:rsidP="00000000" w:rsidRDefault="00000000" w:rsidRPr="00000000" w14:paraId="00000003">
      <w:pPr>
        <w:spacing w:line="276"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Recorder: Derrick Toussaint</w:t>
      </w:r>
    </w:p>
    <w:p w:rsidR="00000000" w:rsidDel="00000000" w:rsidP="00000000" w:rsidRDefault="00000000" w:rsidRPr="00000000" w14:paraId="00000004">
      <w:pPr>
        <w:spacing w:line="48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5">
      <w:pPr>
        <w:spacing w:line="48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Hyperparameter Tuning Methods</w:t>
      </w:r>
    </w:p>
    <w:p w:rsidR="00000000" w:rsidDel="00000000" w:rsidP="00000000" w:rsidRDefault="00000000" w:rsidRPr="00000000" w14:paraId="00000006">
      <w:pP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tune our models, we used RandomizedSearchCV combined with 5-fold cross-validation, focusing on the Random Forest regressors used to predict the PCA-derived illness components (PC1 and PC2). We tuned key hyperparameters that directly control model complexity and variance, including the number of trees (n_estimators), maximum tree depth (max_depth), the minimum samples required to split or form leaves (min_samples_split, min_samples_leaf), the fraction of features considered at each split (max_features), and whether bootstrapping was applied (bootstrap). These hyperparameters were selected because they regulate how deep, varied, and flexible individual trees can become, which in turn shapes the bias–variance tradeoff. We defined a broad but reasonable hyperparameter search space based on Random Forest best practices, and we used a randomized search strategy with 40 sampled combinations. This approach is computationally efficient compared to grid search and still provides meaningful exploration of the parameter space. All searches were run with random_state = 77 for reproducibility. Each hyperparameter configuration was evaluated using cross-validated R², ensuring that tuning decisions reflected model performance across multiple folds rather than on a single train–test split, thereby reducing overfitting risk. This entire tuning setup can be fully replicated from our included parameter grids and RandomizedSearchCV configuration.</w:t>
      </w:r>
    </w:p>
    <w:p w:rsidR="00000000" w:rsidDel="00000000" w:rsidP="00000000" w:rsidRDefault="00000000" w:rsidRPr="00000000" w14:paraId="00000007">
      <w:pPr>
        <w:spacing w:lin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spacing w:line="48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Results and Brief Interpretation</w:t>
      </w:r>
    </w:p>
    <w:p w:rsidR="00000000" w:rsidDel="00000000" w:rsidP="00000000" w:rsidRDefault="00000000" w:rsidRPr="00000000" w14:paraId="00000009">
      <w:pPr>
        <w:spacing w:line="480" w:lineRule="auto"/>
        <w:ind w:firstLine="720"/>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Across all models developed, the most reliable and best-performing model is the tuned Random Forest regressor predicting PC2, the socioeconomic dimension of chronic illness burden. This model achieved a cross-validated R² of approximately 0.899, and a test-set R² of 0.923, indicating very strong generalization. Error levels were also low (MAE ≈ 0.39; RMSE ≈ 0.64), and the model showed only modest overfitting (Train R² ≈ 0.987 vs. Test R² ≈ 0.923). Feature importances aligned closely with the PCA loadings: income, poverty, insurance coverage, and public assistance dominated, reinforcing the validity of the model’s structure and interpretability.</w:t>
      </w:r>
    </w:p>
    <w:p w:rsidR="00000000" w:rsidDel="00000000" w:rsidP="00000000" w:rsidRDefault="00000000" w:rsidRPr="00000000" w14:paraId="0000000A">
      <w:pP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contrast, PC1—the chronic-illness clinical dimension—was more difficult to predict. While the tuned PC1 model achieved a solid CV R² of ~0.87, its test-set R² remained lower at ~0.60, suggesting that chronic illness is less directly determined by the socioeconomic and demographic features available. Anyways, tuning improved PC1 performance meaningfully compared to the untuned baseline.</w:t>
      </w:r>
    </w:p>
    <w:p w:rsidR="00000000" w:rsidDel="00000000" w:rsidP="00000000" w:rsidRDefault="00000000" w:rsidRPr="00000000" w14:paraId="0000000B">
      <w:pPr>
        <w:spacing w:line="480" w:lineRule="auto"/>
        <w:ind w:firstLine="720"/>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We also tested an additional modeling strategy: PCA on the predictor set, reducing the 300+ predictor variables to 50 standardized principal components before fitting new Random Forest models. This method was intended to reduce noise, mitigate multicollinearity, and potentially increase the signal-to-noise ratio. However, this approach reduced performance for both outcomes. For PC1, the predictor-PCA model achieved only CV R² ≈ 0.70, a sharp decline from the ~0.87 achieved without predictor PCA. For PC2, the predictor-PCA model reached CV R² ≈ 0.87, which is lower than the tuned model’s 0.899 and well below its excellent test-set R² of 0.923.</w:t>
      </w:r>
    </w:p>
    <w:p w:rsidR="00000000" w:rsidDel="00000000" w:rsidP="00000000" w:rsidRDefault="00000000" w:rsidRPr="00000000" w14:paraId="0000000C">
      <w:pP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decline in performance is expected: Random Forests handle multicollinearity really well, and many of the original predictors contain localized, interpretable signals that PCA blends together into abstract components. In other words, PCA removed benefits in the structures between variables that the Random Forest exploited. Thus, while PCA on predictors produced a cleaner and more compact feature space, it ultimately discarded meaningful variation and led to worse predictive accuracy than models trained on the full engineered predictor set.</w:t>
      </w:r>
    </w:p>
    <w:p w:rsidR="00000000" w:rsidDel="00000000" w:rsidP="00000000" w:rsidRDefault="00000000" w:rsidRPr="00000000" w14:paraId="0000000D">
      <w:pPr>
        <w:spacing w:line="480" w:lineRule="auto"/>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summary, the tuned Random Forest predicting PC2 remains the strongest model overall due to its high predictive accuracy, stability across folds, minimal overfitting, and consistency with theoretical expectations. Predictor-PCA was empirically tested but demonstrated that dimensionality reduction, while beneficial in some modeling contexts, was not advantageous for this dataset or modeling framework.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