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Project title</w:t>
      </w:r>
    </w:p>
    <w:p w:rsidR="00000000" w:rsidDel="00000000" w:rsidP="00000000" w:rsidRDefault="00000000" w:rsidRPr="00000000" w14:paraId="00000002">
      <w:pPr>
        <w:shd w:fill="ffffff" w:val="clear"/>
        <w:spacing w:after="0" w:before="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Who is Team Lead this week? Derrick Toussaint</w:t>
      </w:r>
    </w:p>
    <w:p w:rsidR="00000000" w:rsidDel="00000000" w:rsidP="00000000" w:rsidRDefault="00000000" w:rsidRPr="00000000" w14:paraId="00000003">
      <w:pPr>
        <w:shd w:fill="ffffff" w:val="clear"/>
        <w:spacing w:after="0" w:before="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Who is the Recorder? Joshua Stoltzfus</w:t>
      </w:r>
    </w:p>
    <w:p w:rsidR="00000000" w:rsidDel="00000000" w:rsidP="00000000" w:rsidRDefault="00000000" w:rsidRPr="00000000" w14:paraId="00000004">
      <w:pPr>
        <w:shd w:fill="ffffff" w:val="clear"/>
        <w:spacing w:after="0" w:before="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Who is the Spokesperson? Joshua Stoltzfus</w:t>
      </w:r>
    </w:p>
    <w:p w:rsidR="00000000" w:rsidDel="00000000" w:rsidP="00000000" w:rsidRDefault="00000000" w:rsidRPr="00000000" w14:paraId="00000005">
      <w:pPr>
        <w:shd w:fill="ffffff" w:val="clear"/>
        <w:spacing w:after="0" w:before="0" w:lineRule="auto"/>
        <w:ind w:left="0" w:firstLine="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06">
      <w:pPr>
        <w:shd w:fill="ffffff" w:val="clea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tl w:val="0"/>
        </w:rPr>
        <w:t xml:space="preserve">Background &amp; Question (Recap):</w:t>
      </w:r>
    </w:p>
    <w:p w:rsidR="00000000" w:rsidDel="00000000" w:rsidP="00000000" w:rsidRDefault="00000000" w:rsidRPr="00000000" w14:paraId="00000007">
      <w:pPr>
        <w:shd w:fill="ffffff" w:val="clea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To what extent can demographic and civil variables—such as median income, population density, education level, and access to medical care—predict the prevalence of medical illness across different ZIP codes in Massachusetts?</w:t>
      </w:r>
    </w:p>
    <w:p w:rsidR="00000000" w:rsidDel="00000000" w:rsidP="00000000" w:rsidRDefault="00000000" w:rsidRPr="00000000" w14:paraId="00000008">
      <w:pPr>
        <w:shd w:fill="ffffff" w:val="clear"/>
        <w:spacing w:after="0" w:before="0" w:line="480" w:lineRule="auto"/>
        <w:ind w:firstLine="2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09">
      <w:pPr>
        <w:shd w:fill="ffffff" w:val="clear"/>
        <w:spacing w:after="0" w:before="0" w:line="480" w:lineRule="auto"/>
        <w:ind w:firstLine="20"/>
        <w:rPr>
          <w:rFonts w:ascii="Georgia" w:cs="Georgia" w:eastAsia="Georgia" w:hAnsi="Georgia"/>
          <w:color w:val="273540"/>
          <w:sz w:val="24"/>
          <w:szCs w:val="24"/>
        </w:rPr>
      </w:pPr>
      <w:r w:rsidDel="00000000" w:rsidR="00000000" w:rsidRPr="00000000">
        <w:rPr>
          <w:rFonts w:ascii="Georgia" w:cs="Georgia" w:eastAsia="Georgia" w:hAnsi="Georgia"/>
          <w:b w:val="1"/>
          <w:bCs w:val="1"/>
          <w:color w:val="273540"/>
          <w:sz w:val="24"/>
          <w:szCs w:val="24"/>
          <w:rtl w:val="0"/>
        </w:rPr>
        <w:t xml:space="preserve">Methods</w:t>
      </w:r>
      <w:r w:rsidDel="00000000" w:rsidR="00000000" w:rsidRPr="00000000">
        <w:rPr>
          <w:rFonts w:ascii="Georgia" w:cs="Georgia" w:eastAsia="Georgia" w:hAnsi="Georgia"/>
          <w:color w:val="273540"/>
          <w:sz w:val="24"/>
          <w:szCs w:val="24"/>
          <w:rtl w:val="0"/>
        </w:rPr>
        <w:t xml:space="preserve">:</w:t>
      </w:r>
    </w:p>
    <w:p w:rsidR="00000000" w:rsidDel="00000000" w:rsidP="00000000" w:rsidRDefault="00000000" w:rsidRPr="00000000" w14:paraId="0000000A">
      <w:pPr>
        <w:spacing w:after="0" w:before="0" w:line="480" w:lineRule="auto"/>
        <w:ind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Our original plan centered on cleaning the Massachusetts SDOH dataset, resolving missingness, standardizing predictors, and engineering interpretable illness-burden features before moving into modeling. Following the EDA, this plan remained largely intact, but we strengthened it by incorporating PCA to capture the shared covariance structure of the chronic illness indicators and building a composite illness-burden metric to complement the PCA output. We also planned to test an initial supervised model (Random Forest Regression) to evaluate how well demographic and civil variables predict illness severity across ZIP codes. The EDA confirmed high correlation among illness variables and heterogeneity across socioeconomic variables, reinforcing the need for careful feature selection.</w:t>
      </w:r>
    </w:p>
    <w:p w:rsidR="00000000" w:rsidDel="00000000" w:rsidP="00000000" w:rsidRDefault="00000000" w:rsidRPr="00000000" w14:paraId="0000000B">
      <w:pPr>
        <w:spacing w:after="0" w:before="0" w:line="480" w:lineRule="auto"/>
        <w:ind w:firstLine="72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0" w:before="0" w:line="480" w:lineRule="auto"/>
        <w:rPr>
          <w:rFonts w:ascii="Georgia" w:cs="Georgia" w:eastAsia="Georgia" w:hAnsi="Georgia"/>
          <w:color w:val="273540"/>
          <w:sz w:val="24"/>
          <w:szCs w:val="24"/>
        </w:rPr>
      </w:pPr>
      <w:bookmarkStart w:colFirst="0" w:colLast="0" w:name="_ns6mjd3wodbw" w:id="0"/>
      <w:bookmarkEnd w:id="0"/>
      <w:r w:rsidDel="00000000" w:rsidR="00000000" w:rsidRPr="00000000">
        <w:rPr>
          <w:rFonts w:ascii="Georgia" w:cs="Georgia" w:eastAsia="Georgia" w:hAnsi="Georgia"/>
          <w:b w:val="1"/>
          <w:bCs w:val="1"/>
          <w:color w:val="273540"/>
          <w:sz w:val="24"/>
          <w:szCs w:val="24"/>
          <w:rtl w:val="0"/>
        </w:rPr>
        <w:t xml:space="preserve">Pre-processing &amp; Feature Selection</w:t>
      </w:r>
      <w:r w:rsidDel="00000000" w:rsidR="00000000" w:rsidRPr="00000000">
        <w:rPr>
          <w:rFonts w:ascii="Georgia" w:cs="Georgia" w:eastAsia="Georgia" w:hAnsi="Georgia"/>
          <w:color w:val="273540"/>
          <w:sz w:val="24"/>
          <w:szCs w:val="24"/>
          <w:rtl w:val="0"/>
        </w:rPr>
        <w:t xml:space="preserve">:</w:t>
      </w:r>
    </w:p>
    <w:p w:rsidR="00000000" w:rsidDel="00000000" w:rsidP="00000000" w:rsidRDefault="00000000" w:rsidRPr="00000000" w14:paraId="0000000D">
      <w:pPr>
        <w:spacing w:after="0" w:before="0" w:line="480" w:lineRule="auto"/>
        <w:ind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The preprocessing pipeline focused on data validity, handling missingness, and standardizing predictors so they would be suitable for both PCA and supervised modeling. Using the filtered Massachusetts ZIP-code dataset, columns with over 95% missingness were dropped, as they offered no meaningful contribution to analysis. Infinite values were converted to missing values, and the remaining missing entries were median-imputed. Identifier columns such as ZIP code and state FIPS codes were excluded from modeling because they are numbered labels and not meaningful features for prediction. </w:t>
      </w:r>
    </w:p>
    <w:p w:rsidR="00000000" w:rsidDel="00000000" w:rsidP="00000000" w:rsidRDefault="00000000" w:rsidRPr="00000000" w14:paraId="0000000E">
      <w:pPr>
        <w:spacing w:after="0" w:before="0" w:line="480" w:lineRule="auto"/>
        <w:ind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Preprocessing also included a thorough examination of variable distributions identified during the EDA. Because many socioeconomic variables exhibited right-skewed distributions, this is why median imputation was preferred over mean imputation to avoid distortion. No extreme outliers were removed because the EDA demonstrated that the spread in variables such as income and chronic disease rates reflected real community heterogeneity instead of data errors. The cleaned and standardized dataset provided a consistent foundation for the unsupervised and supervised modeling stages. These choices were made with interpretability, maximize variance retention, and model stability in mind.</w:t>
      </w:r>
    </w:p>
    <w:p w:rsidR="00000000" w:rsidDel="00000000" w:rsidP="00000000" w:rsidRDefault="00000000" w:rsidRPr="00000000" w14:paraId="0000000F">
      <w:pPr>
        <w:spacing w:after="0" w:before="0" w:line="480" w:lineRule="auto"/>
        <w:ind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Feature engineering was approached through two complementary strategies: (1) construction of a composite illness-burden measure (zip_bucket_score), and (2) extraction of latent illness components using PCA. First, all chronic illness variables (arthritis prevalence, asthma rates, blood-pressure medication usage, cholesterol problems, kidney disease, pulmonary disease, and physical inactivity) were standardized and binned into quartiles. Each quartile represented a ZIP code’s percentile rank relative to other communities. Summing these quartile ranks produced zip_bucket_score, an interpretable illness-burden score reflecting accumulated chronic disease load. This method offers intuitive interpretability, as higher scores directly correspond to worse illness conditions, though it comes with a sacrifice of continuous variation.</w:t>
      </w:r>
    </w:p>
    <w:p w:rsidR="00000000" w:rsidDel="00000000" w:rsidP="00000000" w:rsidRDefault="00000000" w:rsidRPr="00000000" w14:paraId="00000010">
      <w:pPr>
        <w:spacing w:after="0" w:before="0" w:line="480" w:lineRule="auto"/>
        <w:ind w:firstLine="72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11">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b w:val="1"/>
          <w:bCs w:val="1"/>
          <w:color w:val="273540"/>
          <w:sz w:val="24"/>
          <w:szCs w:val="24"/>
          <w:rtl w:val="0"/>
        </w:rPr>
        <w:t xml:space="preserve">Unsupervised Methods</w:t>
      </w:r>
      <w:r w:rsidDel="00000000" w:rsidR="00000000" w:rsidRPr="00000000">
        <w:rPr>
          <w:rFonts w:ascii="Georgia" w:cs="Georgia" w:eastAsia="Georgia" w:hAnsi="Georgia"/>
          <w:color w:val="273540"/>
          <w:sz w:val="24"/>
          <w:szCs w:val="24"/>
          <w:rtl w:val="0"/>
        </w:rPr>
        <w:t xml:space="preserve">:</w:t>
      </w:r>
    </w:p>
    <w:p w:rsidR="00000000" w:rsidDel="00000000" w:rsidP="00000000" w:rsidRDefault="00000000" w:rsidRPr="00000000" w14:paraId="00000012">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ab/>
        <w:t xml:space="preserve">PCA served as the primary unsupervised feature-selection method. The chronic illness variables were highly correlated, making PCA appropriate for identifying shared latent dimensions. After standardization, PCA was applied to the illness matrix. PC1 explained 38% of the variance and exhibited strong negative loadings across nearly all chronic illness variables, indicating it represents a general chronic illness severity variable. ZIP codes with high PC1 (less negative) have lower illness burdens, whereas low PC1 aligns with older and sicker populations. PC2 explained 32.6% of the variance, with positive loadings on lifestyle-related and disability variables and negative loadings associated with preventative care patterns. This component captures socioeconomic and behavioral factors that differ independently of biological disease severity. PC3 explained only 7.9%, representing a small residual variation and was not used further.</w:t>
      </w:r>
    </w:p>
    <w:p w:rsidR="00000000" w:rsidDel="00000000" w:rsidP="00000000" w:rsidRDefault="00000000" w:rsidRPr="00000000" w14:paraId="00000013">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ab/>
        <w:t xml:space="preserve">Because the dataset is numeric and highly correlated, PCA is appropriate and </w:t>
      </w:r>
      <w:r w:rsidDel="00000000" w:rsidR="00000000" w:rsidRPr="00000000">
        <w:rPr>
          <w:rFonts w:ascii="Georgia" w:cs="Georgia" w:eastAsia="Georgia" w:hAnsi="Georgia"/>
          <w:color w:val="273540"/>
          <w:sz w:val="24"/>
          <w:szCs w:val="24"/>
          <w:rtl w:val="0"/>
        </w:rPr>
        <w:t xml:space="preserve">prefered</w:t>
      </w:r>
      <w:r w:rsidDel="00000000" w:rsidR="00000000" w:rsidRPr="00000000">
        <w:rPr>
          <w:rFonts w:ascii="Georgia" w:cs="Georgia" w:eastAsia="Georgia" w:hAnsi="Georgia"/>
          <w:color w:val="273540"/>
          <w:sz w:val="24"/>
          <w:szCs w:val="24"/>
          <w:rtl w:val="0"/>
        </w:rPr>
        <w:t xml:space="preserve">; alternative unsupervised methods such as k-means are less suitable given continuous illness indicators. PCA was selected because it reduces multicollinearity among illness variables and revealed interpretable health-related dimensions. The PCA model also outputs latent factors that serve as alternative outcome variables and enable more robust modeling than binned illness scores such as the one engineered.</w:t>
      </w:r>
    </w:p>
    <w:p w:rsidR="00000000" w:rsidDel="00000000" w:rsidP="00000000" w:rsidRDefault="00000000" w:rsidRPr="00000000" w14:paraId="00000014">
      <w:pPr>
        <w:spacing w:after="0" w:before="0" w:line="480" w:lineRule="auto"/>
        <w:ind w:left="0" w:firstLine="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15">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b w:val="1"/>
          <w:bCs w:val="1"/>
          <w:color w:val="273540"/>
          <w:sz w:val="24"/>
          <w:szCs w:val="24"/>
          <w:rtl w:val="0"/>
        </w:rPr>
        <w:t xml:space="preserve">Initial Model</w:t>
      </w:r>
      <w:r w:rsidDel="00000000" w:rsidR="00000000" w:rsidRPr="00000000">
        <w:rPr>
          <w:rFonts w:ascii="Georgia" w:cs="Georgia" w:eastAsia="Georgia" w:hAnsi="Georgia"/>
          <w:color w:val="273540"/>
          <w:sz w:val="24"/>
          <w:szCs w:val="24"/>
          <w:rtl w:val="0"/>
        </w:rPr>
        <w:t xml:space="preserve">:</w:t>
      </w:r>
    </w:p>
    <w:p w:rsidR="00000000" w:rsidDel="00000000" w:rsidP="00000000" w:rsidRDefault="00000000" w:rsidRPr="00000000" w14:paraId="00000016">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ab/>
        <w:t xml:space="preserve">Random Forest Regression was chosen as the initial supervised model due to its strengths in modeling nonlinear relationships, handling multicollinearity, capturing interactions, and providing built-in feature-importance measures. Unlike linear regression, Random Forests do not assume linearity or independence of predictors, making them suitable for SDOH data where income, education, age structure, and health access measures interact in complex ways. The model is also robust to outliers and works well with both bucketed outcomes (zip_bucket_score) and PCA-derived continuous components (PC1 and PC2). </w:t>
      </w:r>
    </w:p>
    <w:p w:rsidR="00000000" w:rsidDel="00000000" w:rsidP="00000000" w:rsidRDefault="00000000" w:rsidRPr="00000000" w14:paraId="00000017">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ab/>
        <w:t xml:space="preserve">The cleaned dataset was split into an 80% training set and 20% testing set to ensure out-of-sample validity. All relevant predictors were standardized, and Random Forest Regression models were trained to predict three outcomes: (1) zip_bucket_score, (2) PC1, and (3) PC2. Hyperparameters for the baseline model used default settings, such as 600 estimators, with no depth restriction; tuning occurred after the initial model. Because Random Forests can handle correlated predictors without requiring feature elimination, the full set of socioeconomic, demographic, education, insurance, and access-to-care variables was included.</w:t>
      </w:r>
    </w:p>
    <w:p w:rsidR="00000000" w:rsidDel="00000000" w:rsidP="00000000" w:rsidRDefault="00000000" w:rsidRPr="00000000" w14:paraId="00000018">
      <w:pPr>
        <w:spacing w:after="0" w:before="0" w:line="480" w:lineRule="auto"/>
        <w:ind w:left="0" w:firstLine="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19">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b w:val="1"/>
          <w:bCs w:val="1"/>
          <w:color w:val="273540"/>
          <w:sz w:val="24"/>
          <w:szCs w:val="24"/>
          <w:rtl w:val="0"/>
        </w:rPr>
        <w:t xml:space="preserve">Results</w:t>
      </w:r>
      <w:r w:rsidDel="00000000" w:rsidR="00000000" w:rsidRPr="00000000">
        <w:rPr>
          <w:rFonts w:ascii="Georgia" w:cs="Georgia" w:eastAsia="Georgia" w:hAnsi="Georgia"/>
          <w:color w:val="273540"/>
          <w:sz w:val="24"/>
          <w:szCs w:val="24"/>
          <w:rtl w:val="0"/>
        </w:rPr>
        <w:t xml:space="preserve">:</w:t>
      </w:r>
    </w:p>
    <w:p w:rsidR="00000000" w:rsidDel="00000000" w:rsidP="00000000" w:rsidRDefault="00000000" w:rsidRPr="00000000" w14:paraId="0000001A">
      <w:pP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To review the preprocessing, the original dataset was narrowed from 41,073 observations and 355 variables to a clean Massachusetts-only subset of 681 ZIP codes and 349 variables. Variables with over 95% missingness or containing only NaNs were removed, and infinite values were converted to missing and median-imputed to preserve skewed socioeconomic distributions. Chronic illness variables were standardized and transformed into quartile buckets, and these bucketed measures were summed to create the zip_bucket_score, a composite illness-burden index. PCA extracted three latent components: PC1 (38% variance), PC2 (32.6%), and PC3 (7.9%), with PC1 reflecting broad biological illness severity and PC2 capturing socioeconomic and behavioral health gradients.</w:t>
      </w:r>
    </w:p>
    <w:p w:rsidR="00000000" w:rsidDel="00000000" w:rsidP="00000000" w:rsidRDefault="00000000" w:rsidRPr="00000000" w14:paraId="0000001B">
      <w:pP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Three Random Forest Regression models were tuned using a modest yet responsive range for Randomized Search Cross Validation, and were trained to predict (1) zip_bucket_score, (2) PC1, and (3) PC2. The bucket-score model demonstrated strong performance (Test R² = 0.8545), driven largely by age structure, insurance coverage, and income variables. The PC1 model achieved moderate predictive power (Test R² = 0.5992), reflecting the difficulty of predicting biological illness severity with solely demographic and civil indicators. By contrast, the PC2 model performed extremely well (Test R² = 0.9229), indicating that socioeconomic health patterns align closely with the underlying social determinants present in the dataset. Feature-importance rankings consistently highlighted income, age, and insurance variables as the strongest predictors across outcomes.</w:t>
      </w:r>
    </w:p>
    <w:p w:rsidR="00000000" w:rsidDel="00000000" w:rsidP="00000000" w:rsidRDefault="00000000" w:rsidRPr="00000000" w14:paraId="0000001C">
      <w:pP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Residual diagnostics and overfitting assessments further gave context for model performance. Although Random Forests do not require linear residual behavior, residual scatterplots and Q–Q plots across all models showed no major structural issues, and only mild deviations and heteroscedasticity in the bucket-score and PC1 models. Overfitting was evaluated using train–test comparisons: the bucket model exhibited moderate overfitting (Train R² = 0.9718 vs. Test R² = 0.8545), PC1 showed more substantial overfitting (0.9845 vs. 0.5992), and PC2 showed minimal overfitting (0.9869 vs. 0.9229). The result for the bucket-model is insightful but is not worrisome as PC1 and PC2 are the heavy hitters for prediction and model assessment. These results indicate that PC2 is more tightly coupled to the socioeconomic predictor space, while PC1 variation is partially unexplained.</w:t>
      </w:r>
    </w:p>
    <w:p w:rsidR="00000000" w:rsidDel="00000000" w:rsidP="00000000" w:rsidRDefault="00000000" w:rsidRPr="00000000" w14:paraId="0000001D">
      <w:pPr>
        <w:spacing w:after="0" w:before="0" w:line="480" w:lineRule="auto"/>
        <w:ind w:left="0" w:firstLine="0"/>
        <w:rPr>
          <w:rFonts w:ascii="Georgia" w:cs="Georgia" w:eastAsia="Georgia" w:hAnsi="Georgia"/>
          <w:color w:val="273540"/>
          <w:sz w:val="24"/>
          <w:szCs w:val="24"/>
        </w:rPr>
      </w:pPr>
      <w:r w:rsidDel="00000000" w:rsidR="00000000" w:rsidRPr="00000000">
        <w:rPr>
          <w:rtl w:val="0"/>
        </w:rPr>
      </w:r>
    </w:p>
    <w:p w:rsidR="00000000" w:rsidDel="00000000" w:rsidP="00000000" w:rsidRDefault="00000000" w:rsidRPr="00000000" w14:paraId="0000001E">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tl w:val="0"/>
        </w:rPr>
        <w:t xml:space="preserve">Discussion &amp; Next Steps:</w:t>
      </w:r>
    </w:p>
    <w:p w:rsidR="00000000" w:rsidDel="00000000" w:rsidP="00000000" w:rsidRDefault="00000000" w:rsidRPr="00000000" w14:paraId="0000001F">
      <w:pPr>
        <w:spacing w:after="0" w:before="0" w:line="480" w:lineRule="auto"/>
        <w:ind w:left="0" w:firstLine="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ab/>
        <w:t xml:space="preserve">This week’s preprocessing and feature engineering clarified, and strengthened, our guiding research question: </w:t>
      </w:r>
      <w:r w:rsidDel="00000000" w:rsidR="00000000" w:rsidRPr="00000000">
        <w:rPr>
          <w:rFonts w:ascii="Georgia" w:cs="Georgia" w:eastAsia="Georgia" w:hAnsi="Georgia"/>
          <w:i w:val="1"/>
          <w:iCs w:val="1"/>
          <w:color w:val="273540"/>
          <w:sz w:val="24"/>
          <w:szCs w:val="24"/>
          <w:rtl w:val="0"/>
        </w:rPr>
        <w:t xml:space="preserve">To what extent can demographic and civil variables predict the prevalence of medical illness across Massachusetts ZIP codes?</w:t>
      </w:r>
      <w:r w:rsidDel="00000000" w:rsidR="00000000" w:rsidRPr="00000000">
        <w:rPr>
          <w:rFonts w:ascii="Georgia" w:cs="Georgia" w:eastAsia="Georgia" w:hAnsi="Georgia"/>
          <w:color w:val="273540"/>
          <w:sz w:val="24"/>
          <w:szCs w:val="24"/>
          <w:rtl w:val="0"/>
        </w:rPr>
        <w:t xml:space="preserve"> After preprocessing (removing unusable high-missingness variables, standardizing all illness measures, etc.) PCA-derived components representing underlying orthogonal illness dimensions proved helpful. PC1 captured general biological illness severity, while PC2 reflected socioeconomic and behavioral health patterns. The Random Forest models demonstrated varying degrees of predictive power: strong performance for the all illness and behavior encompassing bucket score (Test R² = 0.8545), moderate for PC1 (Test R² = 0.5992), and exceptional predictive accuracy for PC2 (Test R² = 0.9229). These results are promising that demographic and civil variables are particularly effective for predicting socioeconomic-behavioral illness dimensions.</w:t>
      </w:r>
    </w:p>
    <w:p w:rsidR="00000000" w:rsidDel="00000000" w:rsidP="00000000" w:rsidRDefault="00000000" w:rsidRPr="00000000" w14:paraId="00000020">
      <w:pP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These findings refine our original assumptions. While we expected demographic variables to predict illness to some degree, the diagnostics strikingly revealed that latent socioeconomic illness patterns (PC2) are far more predictable than biological illness severity (PC1). The residual plots, residual distributions, and Q-Q plots for all three models confirmed that Random Forests handle structure well but showed signs of overfitting, most notably in the PC1 model (Train R² = 0.9845 vs. Test R² = 0.5992), while the PC2 model generalized well. This indicates that while our preprocessing pipeline is sufficient, the illness constructs differ in predictability, and additional model controls are warranted.</w:t>
      </w:r>
    </w:p>
    <w:p w:rsidR="00000000" w:rsidDel="00000000" w:rsidP="00000000" w:rsidRDefault="00000000" w:rsidRPr="00000000" w14:paraId="00000021">
      <w:pPr>
        <w:spacing w:after="0" w:before="0" w:line="480" w:lineRule="auto"/>
        <w:ind w:left="0" w:firstLine="720"/>
        <w:rPr>
          <w:rFonts w:ascii="Georgia" w:cs="Georgia" w:eastAsia="Georgia" w:hAnsi="Georgia"/>
          <w:color w:val="273540"/>
          <w:sz w:val="24"/>
          <w:szCs w:val="24"/>
        </w:rPr>
      </w:pPr>
      <w:r w:rsidDel="00000000" w:rsidR="00000000" w:rsidRPr="00000000">
        <w:rPr>
          <w:rFonts w:ascii="Georgia" w:cs="Georgia" w:eastAsia="Georgia" w:hAnsi="Georgia"/>
          <w:color w:val="273540"/>
          <w:sz w:val="24"/>
          <w:szCs w:val="24"/>
          <w:rtl w:val="0"/>
        </w:rPr>
        <w:t xml:space="preserve">Next steps will focus on improving generalization and benchmarking performance across additional algorithms. We will expand the model suite to include Gradient Boosting, and a more surveyed cross-validation range for hyperparameter tuning to reduce variance and prevent overfitting. The hyperparameter tuning via RandomizedSearchCV will target depth, leaf size, feature sampling, etc., and we will specifically evaluate whether boosting methods can stabilize PC1 predictions. Given the strength of the PC2 model, we will incorporate it more centrally in our revised analysis plan while still supporting the bucket-score and PC1 outcomes for completeness. Overall, this week’s results proved encouraging and sharpened our understanding of what types of illness outcomes demographic data can predict; setting the stage for more refined tuning and model comparison next week.</w:t>
      </w:r>
    </w:p>
    <w:p w:rsidR="00000000" w:rsidDel="00000000" w:rsidP="00000000" w:rsidRDefault="00000000" w:rsidRPr="00000000" w14:paraId="00000022">
      <w:pPr>
        <w:spacing w:after="0" w:before="0" w:line="480" w:lineRule="auto"/>
        <w:ind w:left="0" w:firstLine="0"/>
        <w:rPr>
          <w:rFonts w:ascii="Georgia" w:cs="Georgia" w:eastAsia="Georgia" w:hAnsi="Georgia"/>
          <w:b w:val="1"/>
          <w:bCs w:val="1"/>
          <w:color w:val="2735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tl w:val="0"/>
        </w:rPr>
        <w:t xml:space="preserve">Appendix:</w:t>
      </w:r>
    </w:p>
    <w:p w:rsidR="00000000" w:rsidDel="00000000" w:rsidP="00000000" w:rsidRDefault="00000000" w:rsidRPr="00000000" w14:paraId="00000024">
      <w:pPr>
        <w:spacing w:line="480" w:lineRule="auto"/>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172075" cy="3724275"/>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72075" cy="3724275"/>
                    </a:xfrm>
                    <a:prstGeom prst="rect"/>
                    <a:ln/>
                  </pic:spPr>
                </pic:pic>
              </a:graphicData>
            </a:graphic>
          </wp:inline>
        </w:drawing>
      </w:r>
      <w:r w:rsidDel="00000000" w:rsidR="00000000" w:rsidRPr="00000000">
        <w:rPr>
          <w:rFonts w:ascii="Georgia" w:cs="Georgia" w:eastAsia="Georgia" w:hAnsi="Georgia"/>
          <w:b w:val="1"/>
          <w:bCs w:val="1"/>
          <w:color w:val="273540"/>
          <w:sz w:val="24"/>
          <w:szCs w:val="24"/>
        </w:rPr>
        <w:drawing>
          <wp:inline distB="114300" distT="114300" distL="114300" distR="114300">
            <wp:extent cx="5067300" cy="3724275"/>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067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467350" cy="43148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735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829300" cy="3724275"/>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29300" cy="3724275"/>
                    </a:xfrm>
                    <a:prstGeom prst="rect"/>
                    <a:ln/>
                  </pic:spPr>
                </pic:pic>
              </a:graphicData>
            </a:graphic>
          </wp:inline>
        </w:drawing>
      </w:r>
      <w:r w:rsidDel="00000000" w:rsidR="00000000" w:rsidRPr="00000000">
        <w:rPr>
          <w:rFonts w:ascii="Georgia" w:cs="Georgia" w:eastAsia="Georgia" w:hAnsi="Georgia"/>
          <w:b w:val="1"/>
          <w:bCs w:val="1"/>
          <w:color w:val="273540"/>
          <w:sz w:val="24"/>
          <w:szCs w:val="24"/>
        </w:rPr>
        <w:drawing>
          <wp:inline distB="114300" distT="114300" distL="114300" distR="114300">
            <wp:extent cx="5819775" cy="3724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197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829300" cy="3724275"/>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29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480" w:lineRule="auto"/>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829300" cy="372427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29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480" w:lineRule="auto"/>
        <w:ind w:left="0" w:firstLine="0"/>
        <w:rPr>
          <w:rFonts w:ascii="Georgia" w:cs="Georgia" w:eastAsia="Georgia" w:hAnsi="Georgia"/>
          <w:b w:val="1"/>
          <w:bCs w:val="1"/>
          <w:color w:val="273540"/>
          <w:sz w:val="24"/>
          <w:szCs w:val="24"/>
        </w:rPr>
      </w:pPr>
      <w:r w:rsidDel="00000000" w:rsidR="00000000" w:rsidRPr="00000000">
        <w:rPr>
          <w:rtl w:val="0"/>
        </w:rPr>
      </w:r>
    </w:p>
    <w:p w:rsidR="00000000" w:rsidDel="00000000" w:rsidP="00000000" w:rsidRDefault="00000000" w:rsidRPr="00000000" w14:paraId="0000002A">
      <w:pPr>
        <w:spacing w:after="0" w:before="0" w:line="480" w:lineRule="auto"/>
        <w:ind w:left="0" w:firstLine="0"/>
        <w:rPr>
          <w:rFonts w:ascii="Georgia" w:cs="Georgia" w:eastAsia="Georgia" w:hAnsi="Georgia"/>
          <w:b w:val="1"/>
          <w:bCs w:val="1"/>
          <w:color w:val="273540"/>
          <w:sz w:val="24"/>
          <w:szCs w:val="24"/>
        </w:rPr>
      </w:pPr>
      <w:r w:rsidDel="00000000" w:rsidR="00000000" w:rsidRPr="00000000">
        <w:rPr>
          <w:rtl w:val="0"/>
        </w:rPr>
      </w:r>
    </w:p>
    <w:p w:rsidR="00000000" w:rsidDel="00000000" w:rsidP="00000000" w:rsidRDefault="00000000" w:rsidRPr="00000000" w14:paraId="0000002B">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800725" cy="372427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8007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480" w:lineRule="auto"/>
        <w:ind w:left="0" w:firstLine="0"/>
        <w:rPr>
          <w:rFonts w:ascii="Georgia" w:cs="Georgia" w:eastAsia="Georgia" w:hAnsi="Georgia"/>
          <w:b w:val="1"/>
          <w:bCs w:val="1"/>
          <w:color w:val="273540"/>
          <w:sz w:val="24"/>
          <w:szCs w:val="24"/>
        </w:rPr>
      </w:pPr>
      <w:r w:rsidDel="00000000" w:rsidR="00000000" w:rsidRPr="00000000">
        <w:rPr>
          <w:rFonts w:ascii="Georgia" w:cs="Georgia" w:eastAsia="Georgia" w:hAnsi="Georgia"/>
          <w:b w:val="1"/>
          <w:bCs w:val="1"/>
          <w:color w:val="273540"/>
          <w:sz w:val="24"/>
          <w:szCs w:val="24"/>
        </w:rPr>
        <w:drawing>
          <wp:inline distB="114300" distT="114300" distL="114300" distR="114300">
            <wp:extent cx="5829300" cy="3724275"/>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829300" cy="3724275"/>
                    </a:xfrm>
                    <a:prstGeom prst="rect"/>
                    <a:ln/>
                  </pic:spPr>
                </pic:pic>
              </a:graphicData>
            </a:graphic>
          </wp:inline>
        </w:drawing>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line="480" w:lineRule="auto"/>
      <w:rPr>
        <w:rFonts w:ascii="Georgia" w:cs="Georgia" w:eastAsia="Georgia" w:hAnsi="Georgia"/>
        <w:b w:val="1"/>
        <w:bCs w:val="1"/>
        <w:color w:val="273540"/>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