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76" w:lineRule="auto"/>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Predicting Community-Level Illness in Massachusetts Using Demographic and Civil Variables</w:t>
      </w:r>
    </w:p>
    <w:p w:rsidR="00000000" w:rsidDel="00000000" w:rsidP="00000000" w:rsidRDefault="00000000" w:rsidRPr="00000000" w14:paraId="00000002">
      <w:pPr>
        <w:spacing w:after="0" w:before="0" w:line="276" w:lineRule="auto"/>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03">
      <w:pPr>
        <w:spacing w:after="0" w:before="0" w:line="276" w:lineRule="auto"/>
        <w:rPr>
          <w:rFonts w:ascii="Georgia" w:cs="Georgia" w:eastAsia="Georgia" w:hAnsi="Georgia"/>
        </w:rPr>
      </w:pPr>
      <w:r w:rsidDel="00000000" w:rsidR="00000000" w:rsidRPr="00000000">
        <w:rPr>
          <w:rFonts w:ascii="Georgia" w:cs="Georgia" w:eastAsia="Georgia" w:hAnsi="Georgia"/>
          <w:b w:val="1"/>
          <w:bCs w:val="1"/>
          <w:rtl w:val="0"/>
        </w:rPr>
        <w:t xml:space="preserve">Course:</w:t>
      </w:r>
      <w:r w:rsidDel="00000000" w:rsidR="00000000" w:rsidRPr="00000000">
        <w:rPr>
          <w:rFonts w:ascii="Georgia" w:cs="Georgia" w:eastAsia="Georgia" w:hAnsi="Georgia"/>
          <w:rtl w:val="0"/>
        </w:rPr>
        <w:t xml:space="preserve"> DSE 6311</w:t>
      </w:r>
    </w:p>
    <w:p w:rsidR="00000000" w:rsidDel="00000000" w:rsidP="00000000" w:rsidRDefault="00000000" w:rsidRPr="00000000" w14:paraId="00000004">
      <w:pPr>
        <w:spacing w:after="0" w:before="0" w:line="276" w:lineRule="auto"/>
        <w:rPr>
          <w:rFonts w:ascii="Georgia" w:cs="Georgia" w:eastAsia="Georgia" w:hAnsi="Georgia"/>
        </w:rPr>
      </w:pPr>
      <w:r w:rsidDel="00000000" w:rsidR="00000000" w:rsidRPr="00000000">
        <w:rPr>
          <w:rFonts w:ascii="Georgia" w:cs="Georgia" w:eastAsia="Georgia" w:hAnsi="Georgia"/>
          <w:b w:val="1"/>
          <w:bCs w:val="1"/>
          <w:rtl w:val="0"/>
        </w:rPr>
        <w:t xml:space="preserve">Students:</w:t>
      </w:r>
      <w:r w:rsidDel="00000000" w:rsidR="00000000" w:rsidRPr="00000000">
        <w:rPr>
          <w:rFonts w:ascii="Georgia" w:cs="Georgia" w:eastAsia="Georgia" w:hAnsi="Georgia"/>
          <w:rtl w:val="0"/>
        </w:rPr>
        <w:t xml:space="preserve"> Joshua Stoltzfus, Derrick Toussaint</w:t>
      </w:r>
    </w:p>
    <w:p w:rsidR="00000000" w:rsidDel="00000000" w:rsidP="00000000" w:rsidRDefault="00000000" w:rsidRPr="00000000" w14:paraId="00000005">
      <w:pPr>
        <w:spacing w:after="0" w:before="0" w:line="276" w:lineRule="auto"/>
        <w:rPr>
          <w:rFonts w:ascii="Georgia" w:cs="Georgia" w:eastAsia="Georgia" w:hAnsi="Georgia"/>
        </w:rPr>
      </w:pPr>
      <w:r w:rsidDel="00000000" w:rsidR="00000000" w:rsidRPr="00000000">
        <w:rPr>
          <w:rFonts w:ascii="Georgia" w:cs="Georgia" w:eastAsia="Georgia" w:hAnsi="Georgia"/>
          <w:b w:val="1"/>
          <w:bCs w:val="1"/>
          <w:rtl w:val="0"/>
        </w:rPr>
        <w:t xml:space="preserve">Institution:</w:t>
      </w:r>
      <w:r w:rsidDel="00000000" w:rsidR="00000000" w:rsidRPr="00000000">
        <w:rPr>
          <w:rFonts w:ascii="Georgia" w:cs="Georgia" w:eastAsia="Georgia" w:hAnsi="Georgia"/>
          <w:rtl w:val="0"/>
        </w:rPr>
        <w:t xml:space="preserve"> Merrimack College – M.S. in Data Science</w:t>
      </w:r>
    </w:p>
    <w:p w:rsidR="00000000" w:rsidDel="00000000" w:rsidP="00000000" w:rsidRDefault="00000000" w:rsidRPr="00000000" w14:paraId="00000006">
      <w:pPr>
        <w:spacing w:after="0" w:before="0" w:line="276" w:lineRule="auto"/>
        <w:rPr>
          <w:rFonts w:ascii="Georgia" w:cs="Georgia" w:eastAsia="Georgia" w:hAnsi="Georgia"/>
        </w:rPr>
      </w:pPr>
      <w:r w:rsidDel="00000000" w:rsidR="00000000" w:rsidRPr="00000000">
        <w:rPr>
          <w:rFonts w:ascii="Georgia" w:cs="Georgia" w:eastAsia="Georgia" w:hAnsi="Georgia"/>
          <w:b w:val="1"/>
          <w:bCs w:val="1"/>
          <w:rtl w:val="0"/>
        </w:rPr>
        <w:t xml:space="preserve">Date:</w:t>
      </w:r>
      <w:r w:rsidDel="00000000" w:rsidR="00000000" w:rsidRPr="00000000">
        <w:rPr>
          <w:rFonts w:ascii="Georgia" w:cs="Georgia" w:eastAsia="Georgia" w:hAnsi="Georgia"/>
          <w:rtl w:val="0"/>
        </w:rPr>
        <w:t xml:space="preserve"> November 24, 2025</w:t>
      </w:r>
    </w:p>
    <w:p w:rsidR="00000000" w:rsidDel="00000000" w:rsidP="00000000" w:rsidRDefault="00000000" w:rsidRPr="00000000" w14:paraId="00000007">
      <w:pPr>
        <w:spacing w:after="0" w:before="0" w:line="480" w:lineRule="auto"/>
        <w:rPr>
          <w:rFonts w:ascii="Georgia" w:cs="Georgia" w:eastAsia="Georgia" w:hAnsi="Georgia"/>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08">
      <w:pPr>
        <w:spacing w:after="0" w:before="0" w:line="48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Recap Background &amp; Question</w:t>
      </w:r>
    </w:p>
    <w:p w:rsidR="00000000" w:rsidDel="00000000" w:rsidP="00000000" w:rsidRDefault="00000000" w:rsidRPr="00000000" w14:paraId="00000009">
      <w:pPr>
        <w:spacing w:after="0" w:before="0" w:line="479.99945454545457" w:lineRule="auto"/>
        <w:ind w:left="0" w:firstLine="720"/>
        <w:rPr>
          <w:rFonts w:ascii="Georgia" w:cs="Georgia" w:eastAsia="Georgia" w:hAnsi="Georgia"/>
        </w:rPr>
      </w:pPr>
      <w:r w:rsidDel="00000000" w:rsidR="00000000" w:rsidRPr="00000000">
        <w:rPr>
          <w:rFonts w:ascii="Georgia" w:cs="Georgia" w:eastAsia="Georgia" w:hAnsi="Georgia"/>
          <w:rtl w:val="0"/>
        </w:rPr>
        <w:t xml:space="preserve">Chronic illness varies widely across communities, and much of this variation is influenced by demographic and socioeconomic factors such as income, education, age structure, and access to medical services. Understanding how these social determinants of health (SDOH) relate to illness burden at the ZIP-code level is essential for identifying vulnerable areas. The Massachusetts SDOH dataset provides detailed, highly-detailed information that enables this analysis.</w:t>
      </w:r>
    </w:p>
    <w:p w:rsidR="00000000" w:rsidDel="00000000" w:rsidP="00000000" w:rsidRDefault="00000000" w:rsidRPr="00000000" w14:paraId="0000000A">
      <w:pPr>
        <w:spacing w:after="0" w:before="0" w:line="479.99945454545457" w:lineRule="auto"/>
        <w:ind w:left="0" w:firstLine="720"/>
        <w:rPr>
          <w:rFonts w:ascii="Georgia" w:cs="Georgia" w:eastAsia="Georgia" w:hAnsi="Georgia"/>
        </w:rPr>
      </w:pPr>
      <w:r w:rsidDel="00000000" w:rsidR="00000000" w:rsidRPr="00000000">
        <w:rPr>
          <w:rFonts w:ascii="Georgia" w:cs="Georgia" w:eastAsia="Georgia" w:hAnsi="Georgia"/>
          <w:rtl w:val="0"/>
        </w:rPr>
        <w:t xml:space="preserve">This project addresses the question: </w:t>
      </w:r>
      <w:r w:rsidDel="00000000" w:rsidR="00000000" w:rsidRPr="00000000">
        <w:rPr>
          <w:rFonts w:ascii="Georgia" w:cs="Georgia" w:eastAsia="Georgia" w:hAnsi="Georgia"/>
          <w:i w:val="1"/>
          <w:iCs w:val="1"/>
          <w:rtl w:val="0"/>
        </w:rPr>
        <w:t xml:space="preserve">To what extent can demographic and civil variables predict the prevalence of medical illness across Massachusetts ZIP codes?</w:t>
      </w:r>
      <w:r w:rsidDel="00000000" w:rsidR="00000000" w:rsidRPr="00000000">
        <w:rPr>
          <w:rFonts w:ascii="Georgia" w:cs="Georgia" w:eastAsia="Georgia" w:hAnsi="Georgia"/>
          <w:rtl w:val="0"/>
        </w:rPr>
        <w:t xml:space="preserve"> The workflow includes data cleaning and standardization, unsupervised dimensionality reduction through PCA, and supervised modeling using Random Forest Regression to evaluate how strongly SDOH variables explain variation in illness burden.</w:t>
      </w:r>
    </w:p>
    <w:p w:rsidR="00000000" w:rsidDel="00000000" w:rsidP="00000000" w:rsidRDefault="00000000" w:rsidRPr="00000000" w14:paraId="0000000B">
      <w:pPr>
        <w:spacing w:after="0" w:before="0" w:line="479.99945454545457" w:lineRule="auto"/>
        <w:ind w:left="0" w:firstLine="0"/>
        <w:rPr>
          <w:rFonts w:ascii="Georgia" w:cs="Georgia" w:eastAsia="Georgia" w:hAnsi="Georgia"/>
        </w:rPr>
      </w:pPr>
      <w:r w:rsidDel="00000000" w:rsidR="00000000" w:rsidRPr="00000000">
        <w:rPr>
          <w:rtl w:val="0"/>
        </w:rPr>
      </w:r>
    </w:p>
    <w:p w:rsidR="00000000" w:rsidDel="00000000" w:rsidP="00000000" w:rsidRDefault="00000000" w:rsidRPr="00000000" w14:paraId="0000000C">
      <w:pPr>
        <w:spacing w:after="0" w:before="0" w:line="48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Methods</w:t>
      </w:r>
    </w:p>
    <w:p w:rsidR="00000000" w:rsidDel="00000000" w:rsidP="00000000" w:rsidRDefault="00000000" w:rsidRPr="00000000" w14:paraId="0000000D">
      <w:pPr>
        <w:spacing w:after="0" w:before="0" w:line="480" w:lineRule="auto"/>
        <w:ind w:firstLine="720"/>
        <w:rPr>
          <w:rFonts w:ascii="Georgia" w:cs="Georgia" w:eastAsia="Georgia" w:hAnsi="Georgia"/>
        </w:rPr>
      </w:pPr>
      <w:r w:rsidDel="00000000" w:rsidR="00000000" w:rsidRPr="00000000">
        <w:rPr>
          <w:rFonts w:ascii="Georgia" w:cs="Georgia" w:eastAsia="Georgia" w:hAnsi="Georgia"/>
          <w:rtl w:val="0"/>
        </w:rPr>
        <w:t xml:space="preserve">Following the initial EDA, the preprocessing plan focused on cleaning the SDOH dataset, restricting the analysis to Massachusetts ZIP codes, and addressing missingness and differing variable scales. Because the dataset contained very little missingness, the original plan required minimal revision; the main additions involved engineering more meaningful illness-burden features and applying PCA to capture shared structure among the highly correlated chronic illness variables.</w:t>
      </w:r>
    </w:p>
    <w:p w:rsidR="00000000" w:rsidDel="00000000" w:rsidP="00000000" w:rsidRDefault="00000000" w:rsidRPr="00000000" w14:paraId="0000000E">
      <w:pPr>
        <w:spacing w:after="0" w:before="0" w:line="480" w:lineRule="auto"/>
        <w:ind w:firstLine="720"/>
        <w:rPr>
          <w:rFonts w:ascii="Georgia" w:cs="Georgia" w:eastAsia="Georgia" w:hAnsi="Georgia"/>
        </w:rPr>
      </w:pPr>
      <w:r w:rsidDel="00000000" w:rsidR="00000000" w:rsidRPr="00000000">
        <w:rPr>
          <w:rFonts w:ascii="Georgia" w:cs="Georgia" w:eastAsia="Georgia" w:hAnsi="Georgia"/>
          <w:rtl w:val="0"/>
        </w:rPr>
        <w:t xml:space="preserve">Preprocessing steps ensured the dataset was complete and analytically valid. Columns with over 95% missingness were removed, infinite values were converted to missing values, and remaining gaps were median-imputed due to the skewed distributions common in socioeconomic variables. Continuous predictors were standardized to ensure comparability, particularly important for PCA, while identifier fields such as ZIP codes and state indicators were excluded because they do not serve as informative predictors.</w:t>
      </w:r>
    </w:p>
    <w:p w:rsidR="00000000" w:rsidDel="00000000" w:rsidP="00000000" w:rsidRDefault="00000000" w:rsidRPr="00000000" w14:paraId="0000000F">
      <w:pPr>
        <w:spacing w:after="0" w:before="0" w:line="480" w:lineRule="auto"/>
        <w:ind w:firstLine="720"/>
        <w:rPr>
          <w:rFonts w:ascii="Georgia" w:cs="Georgia" w:eastAsia="Georgia" w:hAnsi="Georgia"/>
          <w:b w:val="1"/>
          <w:bCs w:val="1"/>
        </w:rPr>
      </w:pPr>
      <w:r w:rsidDel="00000000" w:rsidR="00000000" w:rsidRPr="00000000">
        <w:rPr>
          <w:rFonts w:ascii="Georgia" w:cs="Georgia" w:eastAsia="Georgia" w:hAnsi="Georgia"/>
          <w:rtl w:val="0"/>
        </w:rPr>
        <w:t xml:space="preserve">Feature engineering aimed to create interpretable and statistically robust representations of illness burden. First, all chronic illness variables were standardized and transformed into quartile-based scores reflecting each ZIP code’s percentile rank for each condition. Summing these values produced the composite </w:t>
      </w:r>
      <w:r w:rsidDel="00000000" w:rsidR="00000000" w:rsidRPr="00000000">
        <w:rPr>
          <w:rFonts w:ascii="Georgia" w:cs="Georgia" w:eastAsia="Georgia" w:hAnsi="Georgia"/>
          <w:i w:val="1"/>
          <w:iCs w:val="1"/>
          <w:rtl w:val="0"/>
        </w:rPr>
        <w:t xml:space="preserve">zip_bucket_score</w:t>
      </w:r>
      <w:r w:rsidDel="00000000" w:rsidR="00000000" w:rsidRPr="00000000">
        <w:rPr>
          <w:rFonts w:ascii="Georgia" w:cs="Georgia" w:eastAsia="Georgia" w:hAnsi="Georgia"/>
          <w:rtl w:val="0"/>
        </w:rPr>
        <w:t xml:space="preserve">, an interpretable approximation of overall illness severity. Because quartile binning discards variation, PCA was then applied to the standardized illness features to extract continuous latent components representing major dimensions of community health. This dual strategy, using both aggregated scores and PCA-derived factors, provided complementary perspectives.</w:t>
      </w:r>
      <w:r w:rsidDel="00000000" w:rsidR="00000000" w:rsidRPr="00000000">
        <w:rPr>
          <w:rtl w:val="0"/>
        </w:rPr>
      </w:r>
    </w:p>
    <w:p w:rsidR="00000000" w:rsidDel="00000000" w:rsidP="00000000" w:rsidRDefault="00000000" w:rsidRPr="00000000" w14:paraId="00000010">
      <w:pPr>
        <w:spacing w:after="0" w:before="0" w:line="480" w:lineRule="auto"/>
        <w:ind w:left="0" w:firstLine="0"/>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11">
      <w:pPr>
        <w:spacing w:after="0" w:before="0" w:line="480" w:lineRule="auto"/>
        <w:ind w:left="0" w:firstLine="0"/>
        <w:rPr>
          <w:rFonts w:ascii="Georgia" w:cs="Georgia" w:eastAsia="Georgia" w:hAnsi="Georgia"/>
        </w:rPr>
      </w:pPr>
      <w:r w:rsidDel="00000000" w:rsidR="00000000" w:rsidRPr="00000000">
        <w:rPr>
          <w:rFonts w:ascii="Georgia" w:cs="Georgia" w:eastAsia="Georgia" w:hAnsi="Georgia"/>
          <w:b w:val="1"/>
          <w:bCs w:val="1"/>
          <w:rtl w:val="0"/>
        </w:rPr>
        <w:t xml:space="preserve">Results</w:t>
      </w:r>
      <w:r w:rsidDel="00000000" w:rsidR="00000000" w:rsidRPr="00000000">
        <w:rPr>
          <w:rtl w:val="0"/>
        </w:rPr>
      </w:r>
    </w:p>
    <w:p w:rsidR="00000000" w:rsidDel="00000000" w:rsidP="00000000" w:rsidRDefault="00000000" w:rsidRPr="00000000" w14:paraId="00000012">
      <w:pPr>
        <w:spacing w:after="0" w:before="0" w:line="480" w:lineRule="auto"/>
        <w:ind w:firstLine="720"/>
        <w:rPr>
          <w:rFonts w:ascii="Georgia" w:cs="Georgia" w:eastAsia="Georgia" w:hAnsi="Georgia"/>
        </w:rPr>
      </w:pPr>
      <w:r w:rsidDel="00000000" w:rsidR="00000000" w:rsidRPr="00000000">
        <w:rPr>
          <w:rFonts w:ascii="Georgia" w:cs="Georgia" w:eastAsia="Georgia" w:hAnsi="Georgia"/>
          <w:rtl w:val="0"/>
        </w:rPr>
        <w:t xml:space="preserve">Before modeling, the cleaned dataset (already filtered, standardized, and imputed during preprocessing) was split into an 80% training and 20% testing set to ensure valid out-of-sample evaluation. The engineered illness-burden feature, </w:t>
      </w:r>
      <w:r w:rsidDel="00000000" w:rsidR="00000000" w:rsidRPr="00000000">
        <w:rPr>
          <w:rFonts w:ascii="Georgia" w:cs="Georgia" w:eastAsia="Georgia" w:hAnsi="Georgia"/>
          <w:i w:val="1"/>
          <w:iCs w:val="1"/>
          <w:rtl w:val="0"/>
        </w:rPr>
        <w:t xml:space="preserve">zip_bucket_score</w:t>
      </w:r>
      <w:r w:rsidDel="00000000" w:rsidR="00000000" w:rsidRPr="00000000">
        <w:rPr>
          <w:rFonts w:ascii="Georgia" w:cs="Georgia" w:eastAsia="Georgia" w:hAnsi="Georgia"/>
          <w:rtl w:val="0"/>
        </w:rPr>
        <w:t xml:space="preserve">, provided a rank-based measure of total chronic disease severity, while PCA offered a more continuous, variance-preserving representation of underlying illness patterns.</w:t>
      </w:r>
    </w:p>
    <w:p w:rsidR="00000000" w:rsidDel="00000000" w:rsidP="00000000" w:rsidRDefault="00000000" w:rsidRPr="00000000" w14:paraId="00000013">
      <w:pPr>
        <w:spacing w:after="0" w:before="0" w:line="480" w:lineRule="auto"/>
        <w:ind w:firstLine="720"/>
        <w:rPr>
          <w:rFonts w:ascii="Georgia" w:cs="Georgia" w:eastAsia="Georgia" w:hAnsi="Georgia"/>
        </w:rPr>
      </w:pPr>
      <w:r w:rsidDel="00000000" w:rsidR="00000000" w:rsidRPr="00000000">
        <w:rPr>
          <w:rFonts w:ascii="Gungsuh" w:cs="Gungsuh" w:eastAsia="Gungsuh" w:hAnsi="Gungsuh"/>
          <w:rtl w:val="0"/>
        </w:rPr>
        <w:t xml:space="preserve">PCA revealed a clear, interpretable structure in the chronic illness variables. PC1 accounted for 38% of the variance and displayed strong negative loadings across nearly all conditions, including arthritis (−0.438), cholesterol problems (−0.416), blood-pressure medication use (−0.406), kidney disease (−0.361), and pulmonary disease (−0.328). This consistent pattern indicates that PC1 represents a general chronic illness severity factor, with higher PC1 scores corresponding to ZIP codes characterized by older and sicker populations.</w:t>
      </w:r>
    </w:p>
    <w:p w:rsidR="00000000" w:rsidDel="00000000" w:rsidP="00000000" w:rsidRDefault="00000000" w:rsidRPr="00000000" w14:paraId="00000014">
      <w:pPr>
        <w:spacing w:after="0" w:before="0" w:line="480" w:lineRule="auto"/>
        <w:ind w:firstLine="720"/>
        <w:rPr>
          <w:rFonts w:ascii="Georgia" w:cs="Georgia" w:eastAsia="Georgia" w:hAnsi="Georgia"/>
        </w:rPr>
      </w:pPr>
      <w:r w:rsidDel="00000000" w:rsidR="00000000" w:rsidRPr="00000000">
        <w:rPr>
          <w:rFonts w:ascii="Gungsuh" w:cs="Gungsuh" w:eastAsia="Gungsuh" w:hAnsi="Gungsuh"/>
          <w:rtl w:val="0"/>
        </w:rPr>
        <w:t xml:space="preserve">PC2 explained 32.6% of the variance and captured a socioeconomic–behavioral axis. Positive loadings appeared on no-physical-activity measures, disability indicators, pulmonary disease, and kidney disease, while negative loadings were tied to preventive-care engagement (e.g., cholesterol screening, routine checkups). This suggests that PC2 differentiates ZIP codes based on the degree to which illness patterns are shaped by lifestyle and preventive-care behaviors. PC3 captured only 7.9% of the variance and largely represented residual structure. PC1 was strongly correlated with the engineered zip_bucket_score (r = −0.761), while PC2 showed a moderate correlation (r = 0.404), validating their distinct but complementary roles.</w:t>
      </w:r>
    </w:p>
    <w:p w:rsidR="00000000" w:rsidDel="00000000" w:rsidP="00000000" w:rsidRDefault="00000000" w:rsidRPr="00000000" w14:paraId="00000015">
      <w:pPr>
        <w:spacing w:after="0" w:before="0" w:line="480" w:lineRule="auto"/>
        <w:ind w:firstLine="720"/>
        <w:rPr>
          <w:rFonts w:ascii="Georgia" w:cs="Georgia" w:eastAsia="Georgia" w:hAnsi="Georgia"/>
        </w:rPr>
      </w:pPr>
      <w:r w:rsidDel="00000000" w:rsidR="00000000" w:rsidRPr="00000000">
        <w:rPr>
          <w:rFonts w:ascii="Georgia" w:cs="Georgia" w:eastAsia="Georgia" w:hAnsi="Georgia"/>
          <w:rtl w:val="0"/>
        </w:rPr>
        <w:t xml:space="preserve">Random Forest Regression was selected for supervised modeling due to its ability to capture non-linear relationships, handle mixed data types, and provide interpretable feature-importance measures. Three outcomes were modeled: (1) the zip_bucket_score, (2) PC1, and (3) PC2.</w:t>
      </w:r>
    </w:p>
    <w:p w:rsidR="00000000" w:rsidDel="00000000" w:rsidP="00000000" w:rsidRDefault="00000000" w:rsidRPr="00000000" w14:paraId="00000016">
      <w:pPr>
        <w:spacing w:after="0" w:before="0" w:line="480" w:lineRule="auto"/>
        <w:ind w:firstLine="720"/>
        <w:rPr>
          <w:rFonts w:ascii="Georgia" w:cs="Georgia" w:eastAsia="Georgia" w:hAnsi="Georgia"/>
        </w:rPr>
      </w:pPr>
      <w:r w:rsidDel="00000000" w:rsidR="00000000" w:rsidRPr="00000000">
        <w:rPr>
          <w:rFonts w:ascii="Georgia" w:cs="Georgia" w:eastAsia="Georgia" w:hAnsi="Georgia"/>
          <w:rtl w:val="0"/>
        </w:rPr>
        <w:t xml:space="preserve">The bucket-score model (1) performed strongly (MAE = 2.1069, RMSE = 3.0763, R² = 0.8545), with median household income variables emerging as the dominant predictors, followed by age structure, lower-income household proportions, smartphone access, insurance type, and employment characteristics.</w:t>
      </w:r>
    </w:p>
    <w:p w:rsidR="00000000" w:rsidDel="00000000" w:rsidP="00000000" w:rsidRDefault="00000000" w:rsidRPr="00000000" w14:paraId="00000017">
      <w:pPr>
        <w:spacing w:after="0" w:before="0" w:line="480" w:lineRule="auto"/>
        <w:ind w:firstLine="720"/>
        <w:rPr>
          <w:rFonts w:ascii="Georgia" w:cs="Georgia" w:eastAsia="Georgia" w:hAnsi="Georgia"/>
        </w:rPr>
      </w:pPr>
      <w:r w:rsidDel="00000000" w:rsidR="00000000" w:rsidRPr="00000000">
        <w:rPr>
          <w:rFonts w:ascii="Georgia" w:cs="Georgia" w:eastAsia="Georgia" w:hAnsi="Georgia"/>
          <w:rtl w:val="0"/>
        </w:rPr>
        <w:t xml:space="preserve">The PC1 model (2) yielded moderate performance (MAE = 0.5938, RMSE = 1.2669, R² = 0.5992). Feature importance indicated that PC1 is driven almost entirely by age structure: the proportion of residents aged 18–44 was the strongest predictor (importance = 0.507), followed by the proportion aged 65+, older adults living alone, and other age-related distributions.</w:t>
      </w:r>
    </w:p>
    <w:p w:rsidR="00000000" w:rsidDel="00000000" w:rsidP="00000000" w:rsidRDefault="00000000" w:rsidRPr="00000000" w14:paraId="00000018">
      <w:pPr>
        <w:spacing w:after="0" w:before="0" w:line="480" w:lineRule="auto"/>
        <w:ind w:firstLine="720"/>
        <w:rPr>
          <w:rFonts w:ascii="Georgia" w:cs="Georgia" w:eastAsia="Georgia" w:hAnsi="Georgia"/>
        </w:rPr>
      </w:pPr>
      <w:r w:rsidDel="00000000" w:rsidR="00000000" w:rsidRPr="00000000">
        <w:rPr>
          <w:rFonts w:ascii="Georgia" w:cs="Georgia" w:eastAsia="Georgia" w:hAnsi="Georgia"/>
          <w:rtl w:val="0"/>
        </w:rPr>
        <w:t xml:space="preserve">The PC2 model (3) performed exceptionally well (MAE = 0.3607, RMSE = 0.5833, R² = 0.9229), reflecting the strong predictive relationship between socioeconomic gradients and PC2’s underlying structure. Key predictors included per-capita income, income above 200% of the federal poverty level, food stamp usage, public assistance, and Medicaid-related income variables.</w:t>
      </w:r>
    </w:p>
    <w:p w:rsidR="00000000" w:rsidDel="00000000" w:rsidP="00000000" w:rsidRDefault="00000000" w:rsidRPr="00000000" w14:paraId="00000019">
      <w:pPr>
        <w:spacing w:after="0" w:before="0" w:line="480" w:lineRule="auto"/>
        <w:ind w:firstLine="720"/>
        <w:rPr>
          <w:rFonts w:ascii="Georgia" w:cs="Georgia" w:eastAsia="Georgia" w:hAnsi="Georgia"/>
        </w:rPr>
      </w:pPr>
      <w:r w:rsidDel="00000000" w:rsidR="00000000" w:rsidRPr="00000000">
        <w:rPr>
          <w:rFonts w:ascii="Georgia" w:cs="Georgia" w:eastAsia="Georgia" w:hAnsi="Georgia"/>
          <w:rtl w:val="0"/>
        </w:rPr>
        <w:t xml:space="preserve">Together, PCA and Random Forest modeling reveal two dominant and interpretable health dimensions in Massachusetts ZIP codes: PC1 reflects biologically driven chronic illness severity, and PC2 captures socioeconomic and behavioral health disparities. These distinct patterns underscore the multidimensional nature of community-level illness burden and provide a clear foundation for more advanced modeling such as SHAP analysis, boosted-tree models, and two-dimensional health-index construction (using PC1 and PC2).</w:t>
      </w:r>
      <w:r w:rsidDel="00000000" w:rsidR="00000000" w:rsidRPr="00000000">
        <w:rPr>
          <w:rtl w:val="0"/>
        </w:rPr>
      </w:r>
    </w:p>
    <w:p w:rsidR="00000000" w:rsidDel="00000000" w:rsidP="00000000" w:rsidRDefault="00000000" w:rsidRPr="00000000" w14:paraId="0000001A">
      <w:pPr>
        <w:spacing w:after="0" w:before="0" w:line="480" w:lineRule="auto"/>
        <w:ind w:left="0" w:firstLine="0"/>
        <w:rPr>
          <w:rFonts w:ascii="Georgia" w:cs="Georgia" w:eastAsia="Georgia" w:hAnsi="Georgia"/>
        </w:rPr>
      </w:pPr>
      <w:r w:rsidDel="00000000" w:rsidR="00000000" w:rsidRPr="00000000">
        <w:rPr>
          <w:rtl w:val="0"/>
        </w:rPr>
      </w:r>
    </w:p>
    <w:p w:rsidR="00000000" w:rsidDel="00000000" w:rsidP="00000000" w:rsidRDefault="00000000" w:rsidRPr="00000000" w14:paraId="0000001B">
      <w:pPr>
        <w:spacing w:after="0" w:before="0" w:line="480" w:lineRule="auto"/>
        <w:ind w:left="0" w:firstLine="0"/>
        <w:rPr>
          <w:rFonts w:ascii="Georgia" w:cs="Georgia" w:eastAsia="Georgia" w:hAnsi="Georgia"/>
          <w:b w:val="1"/>
          <w:bCs w:val="1"/>
        </w:rPr>
      </w:pPr>
      <w:r w:rsidDel="00000000" w:rsidR="00000000" w:rsidRPr="00000000">
        <w:rPr>
          <w:rFonts w:ascii="Georgia" w:cs="Georgia" w:eastAsia="Georgia" w:hAnsi="Georgia"/>
          <w:b w:val="1"/>
          <w:bCs w:val="1"/>
          <w:rtl w:val="0"/>
        </w:rPr>
        <w:t xml:space="preserve">Discussion and Next Steps</w:t>
      </w:r>
    </w:p>
    <w:p w:rsidR="00000000" w:rsidDel="00000000" w:rsidP="00000000" w:rsidRDefault="00000000" w:rsidRPr="00000000" w14:paraId="0000001C">
      <w:pPr>
        <w:spacing w:after="0" w:before="0" w:line="480" w:lineRule="auto"/>
        <w:ind w:left="0" w:firstLine="720"/>
        <w:rPr>
          <w:rFonts w:ascii="Georgia" w:cs="Georgia" w:eastAsia="Georgia" w:hAnsi="Georgia"/>
        </w:rPr>
      </w:pPr>
      <w:r w:rsidDel="00000000" w:rsidR="00000000" w:rsidRPr="00000000">
        <w:rPr>
          <w:rFonts w:ascii="Georgia" w:cs="Georgia" w:eastAsia="Georgia" w:hAnsi="Georgia"/>
          <w:rtl w:val="0"/>
        </w:rPr>
        <w:t xml:space="preserve">T</w:t>
      </w:r>
      <w:r w:rsidDel="00000000" w:rsidR="00000000" w:rsidRPr="00000000">
        <w:rPr>
          <w:rFonts w:ascii="Georgia" w:cs="Georgia" w:eastAsia="Georgia" w:hAnsi="Georgia"/>
          <w:rtl w:val="0"/>
        </w:rPr>
        <w:t xml:space="preserve">he central research question for this project asked: </w:t>
      </w:r>
      <w:r w:rsidDel="00000000" w:rsidR="00000000" w:rsidRPr="00000000">
        <w:rPr>
          <w:rFonts w:ascii="Georgia" w:cs="Georgia" w:eastAsia="Georgia" w:hAnsi="Georgia"/>
          <w:i w:val="1"/>
          <w:iCs w:val="1"/>
          <w:rtl w:val="0"/>
        </w:rPr>
        <w:t xml:space="preserve">To what extent can demographic and civil variables—such as median income, population density, education level, and access to medical care—predict the prevalence of medical illness across ZIP codes in Massachusetts?</w:t>
      </w:r>
      <w:r w:rsidDel="00000000" w:rsidR="00000000" w:rsidRPr="00000000">
        <w:rPr>
          <w:rFonts w:ascii="Gungsuh" w:cs="Gungsuh" w:eastAsia="Gungsuh" w:hAnsi="Gungsuh"/>
          <w:rtl w:val="0"/>
        </w:rPr>
        <w:t xml:space="preserve"> The results strongly support the conclusion that demographic and socioeconomic variables meaningfully explain chronic illness variation across the state, though their predictive power differs depending on the underlying health construct. The PCA analysis revealed two dominant latent dimensions of health burden: PC1, a chronic disease severity factor primarily driven by the age structure of each ZIP code, and PC2, a socioeconomic–behavioral factor reflecting the degree to which illness is shaped by income, poverty, and engagement in preventive care. Random Forest models further clarified these relationships. PC1 was moderately predictable (R² ≈ 0.60) and almost entirely explained by age-related characteristics, while PC2 was highly predictable (R² ≈ 0.92) using income distribution, public assistance, and poverty indicators. These findings refine the initial hypothesis by showing that illness prevalence is not a single target but instead reflects multiple distinct mechanisms: biological markers and socioeconomic conditions. The engineered zip_bucket_score, aligned strongly with PC1 but also demonstrated limitations due to discretization, which justified the transition to PCA for modeling continuous latent dimensions.</w:t>
      </w:r>
    </w:p>
    <w:p w:rsidR="00000000" w:rsidDel="00000000" w:rsidP="00000000" w:rsidRDefault="00000000" w:rsidRPr="00000000" w14:paraId="0000001D">
      <w:pPr>
        <w:spacing w:after="0" w:before="0" w:line="480" w:lineRule="auto"/>
        <w:ind w:left="0" w:firstLine="720"/>
        <w:rPr>
          <w:rFonts w:ascii="Georgia" w:cs="Georgia" w:eastAsia="Georgia" w:hAnsi="Georgia"/>
        </w:rPr>
      </w:pPr>
      <w:r w:rsidDel="00000000" w:rsidR="00000000" w:rsidRPr="00000000">
        <w:rPr>
          <w:rFonts w:ascii="Georgia" w:cs="Georgia" w:eastAsia="Georgia" w:hAnsi="Georgia"/>
          <w:rtl w:val="0"/>
        </w:rPr>
        <w:t xml:space="preserve">These results suggest that demographic and civil variables can indeed predict illness burden to a strong degree, but the predictive landscape is more multidimensional than originally assumed. Chronic disease prevalence (PC1) is primarily demographic, while socioeconomic conditions overwhelmingly determine behavioral and access-related disparities (PC2). This multidimensionality indicates that a single summary metric may obscure meaningful variation in mechanisms driving community health. Accordingly, the project’s analytical plan has evolved to treat PC1 and PC2 as complementary rather than interchangeable outcomes, with PC2 capturing nearly all predictable socioeconomic variation and PC1 capturing age-driven biological variation.</w:t>
      </w:r>
    </w:p>
    <w:p w:rsidR="00000000" w:rsidDel="00000000" w:rsidP="00000000" w:rsidRDefault="00000000" w:rsidRPr="00000000" w14:paraId="0000001E">
      <w:pPr>
        <w:spacing w:after="0" w:before="0" w:line="480" w:lineRule="auto"/>
        <w:ind w:left="0" w:firstLine="720"/>
        <w:rPr>
          <w:rFonts w:ascii="Georgia" w:cs="Georgia" w:eastAsia="Georgia" w:hAnsi="Georgia"/>
        </w:rPr>
      </w:pPr>
      <w:r w:rsidDel="00000000" w:rsidR="00000000" w:rsidRPr="00000000">
        <w:rPr>
          <w:rFonts w:ascii="Georgia" w:cs="Georgia" w:eastAsia="Georgia" w:hAnsi="Georgia"/>
          <w:rtl w:val="0"/>
        </w:rPr>
        <w:t xml:space="preserve">For the next phase, the modeling plan will expand in depth and interpretability. Supervised learning will be strengthened by incorporating </w:t>
      </w:r>
      <w:r w:rsidDel="00000000" w:rsidR="00000000" w:rsidRPr="00000000">
        <w:rPr>
          <w:rFonts w:ascii="Georgia" w:cs="Georgia" w:eastAsia="Georgia" w:hAnsi="Georgia"/>
          <w:i w:val="1"/>
          <w:iCs w:val="1"/>
          <w:rtl w:val="0"/>
        </w:rPr>
        <w:t xml:space="preserve">SHAP value analysis</w:t>
      </w:r>
      <w:r w:rsidDel="00000000" w:rsidR="00000000" w:rsidRPr="00000000">
        <w:rPr>
          <w:rFonts w:ascii="Georgia" w:cs="Georgia" w:eastAsia="Georgia" w:hAnsi="Georgia"/>
          <w:rtl w:val="0"/>
        </w:rPr>
        <w:t xml:space="preserve"> to uncover the directionality and interaction patterns behind the Random Forest models. This will clarify whether increases in income, poverty exposure, or insurance characteristics exert linear or nonlinear effects on illness burden. Additionally, the Random Forest regressions themselves will undergo further </w:t>
      </w:r>
      <w:r w:rsidDel="00000000" w:rsidR="00000000" w:rsidRPr="00000000">
        <w:rPr>
          <w:rFonts w:ascii="Georgia" w:cs="Georgia" w:eastAsia="Georgia" w:hAnsi="Georgia"/>
          <w:i w:val="1"/>
          <w:iCs w:val="1"/>
          <w:rtl w:val="0"/>
        </w:rPr>
        <w:t xml:space="preserve">hyperparameter tuning</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particularly adjustments to maximum tree depth, minimum samples per leaf, and the number of estimators. Tuning will improve stability and potentially enhance the predictive performance of the PC1 model, where unexplained variance remains meaningful. Beyond Random Forests, alternative predictive models such as Gradient Boosting Machines, XGBoost, and Elastic Net regression will be explored to determine whether more flexible or regularized approaches provide incremental gains. Finally, the project may construct a two-dimensional health index incorporating both PC1 and PC2. This may hypothetically prove to be quite advantageous in the realm of policy making to differentiate biologically vulnerable communities from socioeconomically marginalized ones.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