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&amp; Research Question</w:t>
      </w:r>
      <w:r w:rsidDel="00000000" w:rsidR="00000000" w:rsidRPr="00000000">
        <w:rPr>
          <w:rFonts w:ascii="Times New Roman" w:cs="Times New Roman" w:eastAsia="Times New Roman" w:hAnsi="Times New Roman"/>
          <w:sz w:val="24"/>
          <w:szCs w:val="24"/>
          <w:rtl w:val="0"/>
        </w:rPr>
        <w:t xml:space="preserve">: The purpose of this project is to examine whether demographic and civil characteristics of Massachusetts zip codes can predict medical illness prevalence at the community level. We seek to answer the research question: </w:t>
      </w:r>
    </w:p>
    <w:p w:rsidR="00000000" w:rsidDel="00000000" w:rsidP="00000000" w:rsidRDefault="00000000" w:rsidRPr="00000000" w14:paraId="00000002">
      <w:pPr>
        <w:spacing w:after="160" w:line="48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can demographic and civil variables—such as median income, population density, education level, and access to medical care—predict the prevalence of medical illness across different zip codes in Massachusetts?</w:t>
      </w:r>
    </w:p>
    <w:p w:rsidR="00000000" w:rsidDel="00000000" w:rsidP="00000000" w:rsidRDefault="00000000" w:rsidRPr="00000000" w14:paraId="0000000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communal illness patterns could help increase proactive public health planning for state agencies and public health departments. Such targeted preventive interventions could be crucial before illness rates escalate. If policy makers are aware of how differing towns have a diversity of illness risk, budgets and public health initiatives could better strategically allocate resources. Insurance companies and hospitals could better prepare for regional healthcare demand, adjust planning, and initiate community partnerships themselves. In short, this project is an intersection between public health and predictive analytics providing a forecast method for community health using demographic and civil variables.</w:t>
      </w:r>
    </w:p>
    <w:p w:rsidR="00000000" w:rsidDel="00000000" w:rsidP="00000000" w:rsidRDefault="00000000" w:rsidRPr="00000000" w14:paraId="00000004">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rFonts w:ascii="Times New Roman" w:cs="Times New Roman" w:eastAsia="Times New Roman" w:hAnsi="Times New Roman"/>
          <w:sz w:val="24"/>
          <w:szCs w:val="24"/>
          <w:rtl w:val="0"/>
        </w:rPr>
        <w:t xml:space="preserve">: We expect residential areas with less education, of lower socio-economic status, with less education, and in higher densely populated areas to exhibit higher risks of illness. Areas with less education have less financial opportunities. Lower socio-economic areas may have less access to premium healthcare and nutrition. Areas more densely populated would be harmed by greater exposure to spreadable diseases and by harmful byproducts of human activity (CO2, Noise, etc.)</w:t>
      </w:r>
    </w:p>
    <w:p w:rsidR="00000000" w:rsidDel="00000000" w:rsidP="00000000" w:rsidRDefault="00000000" w:rsidRPr="00000000" w14:paraId="00000005">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&amp; Analysis</w:t>
      </w:r>
      <w:r w:rsidDel="00000000" w:rsidR="00000000" w:rsidRPr="00000000">
        <w:rPr>
          <w:rFonts w:ascii="Times New Roman" w:cs="Times New Roman" w:eastAsia="Times New Roman" w:hAnsi="Times New Roman"/>
          <w:sz w:val="24"/>
          <w:szCs w:val="24"/>
          <w:rtl w:val="0"/>
        </w:rPr>
        <w:t xml:space="preserve">: We will be focusing on the data found from the </w:t>
      </w:r>
      <w:hyperlink r:id="rId6">
        <w:r w:rsidDel="00000000" w:rsidR="00000000" w:rsidRPr="00000000">
          <w:rPr>
            <w:color w:val="1155cc"/>
            <w:sz w:val="20"/>
            <w:szCs w:val="20"/>
            <w:u w:val="single"/>
            <w:rtl w:val="0"/>
          </w:rPr>
          <w:t xml:space="preserve">Agency for Healthcare Research and Quality</w:t>
        </w:r>
      </w:hyperlink>
      <w:r w:rsidDel="00000000" w:rsidR="00000000" w:rsidRPr="00000000">
        <w:rPr>
          <w:rFonts w:ascii="Times New Roman" w:cs="Times New Roman" w:eastAsia="Times New Roman" w:hAnsi="Times New Roman"/>
          <w:sz w:val="24"/>
          <w:szCs w:val="24"/>
          <w:rtl w:val="0"/>
        </w:rPr>
        <w:t xml:space="preserve"> dataset provided by Professor Chris Healey for our research. A key factor in analyzing our data is to sectionalize the research into regions within the state of MA. We will be diving into people diagnosed with illnesses in the year 2019. This approach will allow us to identify any regional disparities in healthcare access and outcomes across the state. By examining patterns at the local level, we can uncover insights that may inform policy decisions and targeted health interventions.</w:t>
      </w:r>
      <w:r w:rsidDel="00000000" w:rsidR="00000000" w:rsidRPr="00000000">
        <w:rPr>
          <w:rtl w:val="0"/>
        </w:rPr>
      </w:r>
    </w:p>
    <w:p w:rsidR="00000000" w:rsidDel="00000000" w:rsidP="00000000" w:rsidRDefault="00000000" w:rsidRPr="00000000" w14:paraId="00000006">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variable</w:t>
      </w:r>
      <w:r w:rsidDel="00000000" w:rsidR="00000000" w:rsidRPr="00000000">
        <w:rPr>
          <w:rFonts w:ascii="Times New Roman" w:cs="Times New Roman" w:eastAsia="Times New Roman" w:hAnsi="Times New Roman"/>
          <w:sz w:val="24"/>
          <w:szCs w:val="24"/>
          <w:rtl w:val="0"/>
        </w:rPr>
        <w:t xml:space="preserve">: Our outcome variable will be an engineered feature called “illness_risk” and will be a four tier categorical variable (very-high, high, medium, low). This feature will be engineered based on the summation of chronic illness frequencies.</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Predictor Variables</w:t>
      </w:r>
      <w:r w:rsidDel="00000000" w:rsidR="00000000" w:rsidRPr="00000000">
        <w:rPr>
          <w:rFonts w:ascii="Times New Roman" w:cs="Times New Roman" w:eastAsia="Times New Roman" w:hAnsi="Times New Roman"/>
          <w:sz w:val="24"/>
          <w:szCs w:val="24"/>
          <w:rtl w:val="0"/>
        </w:rPr>
        <w:t xml:space="preserve">: Our predictor variables will be a strategic yet exhaustive variety of civil data and demographic data of all zip-codes in the state of Massachusetts. These variables will concern socioeconomic status, population density, education, access to healthcare, insurance status, and demographics.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Tentative Analysis Plan</w:t>
      </w:r>
      <w:r w:rsidDel="00000000" w:rsidR="00000000" w:rsidRPr="00000000">
        <w:rPr>
          <w:rFonts w:ascii="Times New Roman" w:cs="Times New Roman" w:eastAsia="Times New Roman" w:hAnsi="Times New Roman"/>
          <w:sz w:val="24"/>
          <w:szCs w:val="24"/>
          <w:rtl w:val="0"/>
        </w:rPr>
        <w:t xml:space="preserve">: Our analysis will begin with data cleaning and preparation to ensure accuracy and consistency throughout the variables under study. We will then identify trends, relations, patterns, and potential outliers within the healthcare dataset. Following this, applying statistical modeling techniques to visualize and examine the relations of the demographic factors and illness rates across MA.</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the question is answered</w:t>
      </w:r>
      <w:r w:rsidDel="00000000" w:rsidR="00000000" w:rsidRPr="00000000">
        <w:rPr>
          <w:rFonts w:ascii="Times New Roman" w:cs="Times New Roman" w:eastAsia="Times New Roman" w:hAnsi="Times New Roman"/>
          <w:sz w:val="24"/>
          <w:szCs w:val="24"/>
          <w:rtl w:val="0"/>
        </w:rPr>
        <w:t xml:space="preserve">: We will be able to identify which demographic and civil variables are most strongly predictive of illness prevalence at the zip-code level in Massachusetts. This allows policy makers, insurers, and public health organizations to proactively target communities with higher predicted risk rather than reacting after illness rates rise. By knowing the most consequential factors, this allows data-driven decisions to equip decision-makers with a predictive model that highlights vulnerable communities before health disparities.</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Our programming language will be Python, specifically the usage of Jupyter Notebooks.</w:t>
      </w:r>
    </w:p>
    <w:p w:rsidR="00000000" w:rsidDel="00000000" w:rsidP="00000000" w:rsidRDefault="00000000" w:rsidRPr="00000000" w14:paraId="0000000B">
      <w:pPr>
        <w:spacing w:after="240" w:before="240" w:line="48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Other Resources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rPr>
          <w:sz w:val="24"/>
          <w:szCs w:val="24"/>
        </w:rPr>
      </w:pPr>
      <w:hyperlink r:id="rId7">
        <w:r w:rsidDel="00000000" w:rsidR="00000000" w:rsidRPr="00000000">
          <w:rPr>
            <w:color w:val="1155cc"/>
            <w:sz w:val="24"/>
            <w:szCs w:val="24"/>
            <w:u w:val="single"/>
            <w:rtl w:val="0"/>
          </w:rPr>
          <w:t xml:space="preserve">https://www.ahrq.gov/sites/default/files/wysiwyg/sdoh/SDOH-Data-Sources-Documentation-v1-Final.pdf</w:t>
        </w:r>
      </w:hyperlink>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hrq.gov/sdoh/data-analytics/sdoh-data.html" TargetMode="External"/><Relationship Id="rId7" Type="http://schemas.openxmlformats.org/officeDocument/2006/relationships/hyperlink" Target="https://www.ahrq.gov/sites/default/files/wysiwyg/sdoh/SDOH-Data-Sources-Documentation-v1-Fin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