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Georgia" w:cs="Georgia" w:eastAsia="Georgia" w:hAnsi="Georgia"/>
        </w:rPr>
      </w:pPr>
      <w:r w:rsidDel="00000000" w:rsidR="00000000" w:rsidRPr="00000000">
        <w:rPr>
          <w:rFonts w:ascii="Georgia" w:cs="Georgia" w:eastAsia="Georgia" w:hAnsi="Georgia"/>
          <w:rtl w:val="0"/>
        </w:rPr>
        <w:t xml:space="preserve">Title Page</w:t>
      </w:r>
    </w:p>
    <w:p w:rsidR="00000000" w:rsidDel="00000000" w:rsidP="00000000" w:rsidRDefault="00000000" w:rsidRPr="00000000" w14:paraId="00000002">
      <w:pPr>
        <w:spacing w:line="480" w:lineRule="auto"/>
        <w:rPr>
          <w:rFonts w:ascii="Georgia" w:cs="Georgia" w:eastAsia="Georgia" w:hAnsi="Georgia"/>
        </w:rPr>
      </w:pPr>
      <w:r w:rsidDel="00000000" w:rsidR="00000000" w:rsidRPr="00000000">
        <w:rPr>
          <w:rFonts w:ascii="Georgia" w:cs="Georgia" w:eastAsia="Georgia" w:hAnsi="Georgia"/>
          <w:rtl w:val="0"/>
        </w:rPr>
        <w:t xml:space="preserve">Recap Background &amp; Question:</w:t>
      </w:r>
    </w:p>
    <w:p w:rsidR="00000000" w:rsidDel="00000000" w:rsidP="00000000" w:rsidRDefault="00000000" w:rsidRPr="00000000" w14:paraId="00000003">
      <w:pPr>
        <w:spacing w:line="479.99945454545457" w:lineRule="auto"/>
        <w:ind w:firstLine="20"/>
        <w:rPr>
          <w:rFonts w:ascii="Georgia" w:cs="Georgia" w:eastAsia="Georgia" w:hAnsi="Georgia"/>
        </w:rPr>
      </w:pPr>
      <w:r w:rsidDel="00000000" w:rsidR="00000000" w:rsidRPr="00000000">
        <w:rPr>
          <w:rFonts w:ascii="Georgia" w:cs="Georgia" w:eastAsia="Georgia" w:hAnsi="Georgia"/>
          <w:rtl w:val="0"/>
        </w:rPr>
        <w:t xml:space="preserve">To what extent can demographic and civil variables—such as median income, population density, education level, and access to medical care—predict the prevalence of medical illness across different ZIP codes in Massachusetts?</w:t>
      </w:r>
    </w:p>
    <w:p w:rsidR="00000000" w:rsidDel="00000000" w:rsidP="00000000" w:rsidRDefault="00000000" w:rsidRPr="00000000" w14:paraId="00000004">
      <w:pPr>
        <w:spacing w:line="240" w:lineRule="auto"/>
        <w:ind w:firstLine="20"/>
        <w:rPr>
          <w:rFonts w:ascii="Georgia" w:cs="Georgia" w:eastAsia="Georgia" w:hAnsi="Georgia"/>
        </w:rPr>
      </w:pPr>
      <w:r w:rsidDel="00000000" w:rsidR="00000000" w:rsidRPr="00000000">
        <w:rPr>
          <w:rtl w:val="0"/>
        </w:rPr>
      </w:r>
    </w:p>
    <w:p w:rsidR="00000000" w:rsidDel="00000000" w:rsidP="00000000" w:rsidRDefault="00000000" w:rsidRPr="00000000" w14:paraId="00000005">
      <w:pPr>
        <w:spacing w:line="480" w:lineRule="auto"/>
        <w:rPr>
          <w:rFonts w:ascii="Georgia" w:cs="Georgia" w:eastAsia="Georgia" w:hAnsi="Georgia"/>
        </w:rPr>
      </w:pPr>
      <w:r w:rsidDel="00000000" w:rsidR="00000000" w:rsidRPr="00000000">
        <w:rPr>
          <w:rFonts w:ascii="Georgia" w:cs="Georgia" w:eastAsia="Georgia" w:hAnsi="Georgia"/>
          <w:rtl w:val="0"/>
        </w:rPr>
        <w:t xml:space="preserve">Methods</w:t>
      </w:r>
    </w:p>
    <w:p w:rsidR="00000000" w:rsidDel="00000000" w:rsidP="00000000" w:rsidRDefault="00000000" w:rsidRPr="00000000" w14:paraId="00000006">
      <w:pPr>
        <w:spacing w:line="480" w:lineRule="auto"/>
        <w:ind w:firstLine="720"/>
        <w:rPr>
          <w:rFonts w:ascii="Georgia" w:cs="Georgia" w:eastAsia="Georgia" w:hAnsi="Georgia"/>
        </w:rPr>
      </w:pPr>
      <w:r w:rsidDel="00000000" w:rsidR="00000000" w:rsidRPr="00000000">
        <w:rPr>
          <w:rFonts w:ascii="Georgia" w:cs="Georgia" w:eastAsia="Georgia" w:hAnsi="Georgia"/>
          <w:rtl w:val="0"/>
        </w:rPr>
        <w:t xml:space="preserve">In the EDA Report, the plan for preprocessing was focused primarily on the filtering and cleaning of the SDOH dataset. This had been done by focusing on Massachusetts zip codes - removing missing values, sorting the data based on  areas with high illness risk, and standardizing variables for modeling. After this was completed, it was noted that the dataset had contained very minimal missing values and that no major changes were necessary. </w:t>
      </w:r>
    </w:p>
    <w:p w:rsidR="00000000" w:rsidDel="00000000" w:rsidP="00000000" w:rsidRDefault="00000000" w:rsidRPr="00000000" w14:paraId="00000007">
      <w:pPr>
        <w:spacing w:line="480" w:lineRule="auto"/>
        <w:ind w:firstLine="720"/>
        <w:rPr>
          <w:rFonts w:ascii="Georgia" w:cs="Georgia" w:eastAsia="Georgia" w:hAnsi="Georgia"/>
        </w:rPr>
      </w:pPr>
      <w:r w:rsidDel="00000000" w:rsidR="00000000" w:rsidRPr="00000000">
        <w:rPr>
          <w:rFonts w:ascii="Georgia" w:cs="Georgia" w:eastAsia="Georgia" w:hAnsi="Georgia"/>
          <w:rtl w:val="0"/>
        </w:rPr>
        <w:t xml:space="preserve">To prepare the dataset for modeling, we first had to import the filtered data from the SDOH dataset then identify the key variables such as ZIP codes. We also reviewed the distribution of continuous variables to display the level of illness rates expected across ZIP codes. Standardizing the magnitude of the predictors was a key part of preprocessing due to the mixed scales of the variables.</w:t>
      </w:r>
    </w:p>
    <w:p w:rsidR="00000000" w:rsidDel="00000000" w:rsidP="00000000" w:rsidRDefault="00000000" w:rsidRPr="00000000" w14:paraId="00000008">
      <w:pPr>
        <w:spacing w:line="480" w:lineRule="auto"/>
        <w:ind w:firstLine="720"/>
        <w:rPr>
          <w:rFonts w:ascii="Georgia" w:cs="Georgia" w:eastAsia="Georgia" w:hAnsi="Georgia"/>
        </w:rPr>
      </w:pPr>
      <w:r w:rsidDel="00000000" w:rsidR="00000000" w:rsidRPr="00000000">
        <w:rPr>
          <w:rFonts w:ascii="Georgia" w:cs="Georgia" w:eastAsia="Georgia" w:hAnsi="Georgia"/>
          <w:rtl w:val="0"/>
        </w:rPr>
        <w:t xml:space="preserve">Featuring engineering centered on constructing meaningful outcome variables and generating additional predictors that might enhance the model’s ability to explain community illness burden. The primary engineered variable was </w:t>
      </w:r>
      <w:r w:rsidDel="00000000" w:rsidR="00000000" w:rsidRPr="00000000">
        <w:rPr>
          <w:rFonts w:ascii="Georgia" w:cs="Georgia" w:eastAsia="Georgia" w:hAnsi="Georgia"/>
          <w:rtl w:val="0"/>
        </w:rPr>
        <w:t xml:space="preserve">illness_score and each chronic condition represented a distinct dimension of illness burden. Once computed, illness_score was binned into four ordered categories—Low, Medium, High, and Very High. This transformation improved interpretability by transforming complex health metrics into a clear, ordinal risk tier for each ZIP code.</w:t>
      </w:r>
      <w:r w:rsidDel="00000000" w:rsidR="00000000" w:rsidRPr="00000000">
        <w:rPr>
          <w:rtl w:val="0"/>
        </w:rPr>
      </w:r>
    </w:p>
    <w:p w:rsidR="00000000" w:rsidDel="00000000" w:rsidP="00000000" w:rsidRDefault="00000000" w:rsidRPr="00000000" w14:paraId="00000009">
      <w:pPr>
        <w:spacing w:line="480" w:lineRule="auto"/>
        <w:rPr>
          <w:rFonts w:ascii="Georgia" w:cs="Georgia" w:eastAsia="Georgia" w:hAnsi="Georgia"/>
        </w:rPr>
      </w:pPr>
      <w:r w:rsidDel="00000000" w:rsidR="00000000" w:rsidRPr="00000000">
        <w:rPr>
          <w:rFonts w:ascii="Georgia" w:cs="Georgia" w:eastAsia="Georgia" w:hAnsi="Georgia"/>
          <w:rtl w:val="0"/>
        </w:rPr>
        <w:t xml:space="preserve">Results (Tables or Visualizations, if needed, and Brief Interpretations)</w:t>
      </w:r>
    </w:p>
    <w:p w:rsidR="00000000" w:rsidDel="00000000" w:rsidP="00000000" w:rsidRDefault="00000000" w:rsidRPr="00000000" w14:paraId="0000000A">
      <w:pPr>
        <w:numPr>
          <w:ilvl w:val="0"/>
          <w:numId w:val="1"/>
        </w:numPr>
        <w:spacing w:line="480" w:lineRule="auto"/>
        <w:ind w:left="720" w:hanging="360"/>
        <w:rPr>
          <w:rFonts w:ascii="Georgia" w:cs="Georgia" w:eastAsia="Georgia" w:hAnsi="Georgia"/>
          <w:u w:val="none"/>
        </w:rPr>
      </w:pPr>
      <w:r w:rsidDel="00000000" w:rsidR="00000000" w:rsidRPr="00000000">
        <w:rPr>
          <w:rFonts w:ascii="Georgia" w:cs="Georgia" w:eastAsia="Georgia" w:hAnsi="Georgia"/>
          <w:b w:val="1"/>
          <w:bCs w:val="1"/>
          <w:rtl w:val="0"/>
        </w:rPr>
        <w:t xml:space="preserve">For full credit</w:t>
      </w:r>
      <w:r w:rsidDel="00000000" w:rsidR="00000000" w:rsidRPr="00000000">
        <w:rPr>
          <w:rFonts w:ascii="Georgia" w:cs="Georgia" w:eastAsia="Georgia" w:hAnsi="Georgia"/>
          <w:rtl w:val="0"/>
        </w:rPr>
        <w:t xml:space="preserve">, justifications for all cleaning, collapsing of variables, encoding, or mathematical transformation steps are thoroughly provided. Graphs or summary statistics may be used to defend choices, and do not count toward the page limit.</w:t>
      </w:r>
    </w:p>
    <w:p w:rsidR="00000000" w:rsidDel="00000000" w:rsidP="00000000" w:rsidRDefault="00000000" w:rsidRPr="00000000" w14:paraId="0000000B">
      <w:pPr>
        <w:numPr>
          <w:ilvl w:val="0"/>
          <w:numId w:val="1"/>
        </w:numPr>
        <w:spacing w:line="480" w:lineRule="auto"/>
        <w:ind w:left="720" w:hanging="360"/>
        <w:rPr>
          <w:rFonts w:ascii="Georgia" w:cs="Georgia" w:eastAsia="Georgia" w:hAnsi="Georgia"/>
          <w:u w:val="none"/>
        </w:rPr>
      </w:pPr>
      <w:r w:rsidDel="00000000" w:rsidR="00000000" w:rsidRPr="00000000">
        <w:rPr>
          <w:rFonts w:ascii="Georgia" w:cs="Georgia" w:eastAsia="Georgia" w:hAnsi="Georgia"/>
          <w:b w:val="1"/>
          <w:bCs w:val="1"/>
          <w:rtl w:val="0"/>
        </w:rPr>
        <w:t xml:space="preserve">For full credit</w:t>
      </w:r>
      <w:r w:rsidDel="00000000" w:rsidR="00000000" w:rsidRPr="00000000">
        <w:rPr>
          <w:rFonts w:ascii="Georgia" w:cs="Georgia" w:eastAsia="Georgia" w:hAnsi="Georgia"/>
          <w:rtl w:val="0"/>
        </w:rPr>
        <w:t xml:space="preserve">, pre-processing steps (e.g., splitting into testing/training sets, handling of missing values) are justified and thoroughly provided. Again, graphs or summary statistics may be used to defend choices and do not count toward the page limit. </w:t>
      </w:r>
    </w:p>
    <w:p w:rsidR="00000000" w:rsidDel="00000000" w:rsidP="00000000" w:rsidRDefault="00000000" w:rsidRPr="00000000" w14:paraId="0000000C">
      <w:pPr>
        <w:numPr>
          <w:ilvl w:val="0"/>
          <w:numId w:val="1"/>
        </w:numPr>
        <w:spacing w:line="480" w:lineRule="auto"/>
        <w:ind w:left="720" w:hanging="360"/>
        <w:rPr>
          <w:rFonts w:ascii="Georgia" w:cs="Georgia" w:eastAsia="Georgia" w:hAnsi="Georgia"/>
          <w:u w:val="none"/>
        </w:rPr>
      </w:pPr>
      <w:r w:rsidDel="00000000" w:rsidR="00000000" w:rsidRPr="00000000">
        <w:rPr>
          <w:rFonts w:ascii="Georgia" w:cs="Georgia" w:eastAsia="Georgia" w:hAnsi="Georgia"/>
          <w:b w:val="1"/>
          <w:bCs w:val="1"/>
          <w:rtl w:val="0"/>
        </w:rPr>
        <w:t xml:space="preserve">For full credit</w:t>
      </w:r>
      <w:r w:rsidDel="00000000" w:rsidR="00000000" w:rsidRPr="00000000">
        <w:rPr>
          <w:rFonts w:ascii="Georgia" w:cs="Georgia" w:eastAsia="Georgia" w:hAnsi="Georgia"/>
          <w:rtl w:val="0"/>
        </w:rPr>
        <w:t xml:space="preserve">, both trajectories for feature engineering are well-described and reported: </w:t>
      </w:r>
    </w:p>
    <w:p w:rsidR="00000000" w:rsidDel="00000000" w:rsidP="00000000" w:rsidRDefault="00000000" w:rsidRPr="00000000" w14:paraId="0000000D">
      <w:pPr>
        <w:numPr>
          <w:ilvl w:val="1"/>
          <w:numId w:val="1"/>
        </w:numPr>
        <w:spacing w:line="480" w:lineRule="auto"/>
        <w:ind w:left="1440" w:hanging="360"/>
        <w:rPr>
          <w:rFonts w:ascii="Georgia" w:cs="Georgia" w:eastAsia="Georgia" w:hAnsi="Georgia"/>
          <w:u w:val="none"/>
        </w:rPr>
      </w:pPr>
      <w:r w:rsidDel="00000000" w:rsidR="00000000" w:rsidRPr="00000000">
        <w:rPr>
          <w:rFonts w:ascii="Georgia" w:cs="Georgia" w:eastAsia="Georgia" w:hAnsi="Georgia"/>
          <w:rtl w:val="0"/>
        </w:rPr>
        <w:t xml:space="preserve">Unsupervised method(s) - e.g., </w:t>
      </w:r>
      <w:commentRangeStart w:id="0"/>
      <w:r w:rsidDel="00000000" w:rsidR="00000000" w:rsidRPr="00000000">
        <w:rPr>
          <w:rFonts w:ascii="Georgia" w:cs="Georgia" w:eastAsia="Georgia" w:hAnsi="Georgia"/>
          <w:rtl w:val="0"/>
        </w:rPr>
        <w:t xml:space="preserve">PCA</w:t>
      </w:r>
      <w:commentRangeEnd w:id="0"/>
      <w:r w:rsidDel="00000000" w:rsidR="00000000" w:rsidRPr="00000000">
        <w:commentReference w:id="0"/>
      </w:r>
      <w:r w:rsidDel="00000000" w:rsidR="00000000" w:rsidRPr="00000000">
        <w:rPr>
          <w:rFonts w:ascii="Georgia" w:cs="Georgia" w:eastAsia="Georgia" w:hAnsi="Georgia"/>
          <w:rtl w:val="0"/>
        </w:rPr>
        <w:t xml:space="preserve">, k-means clustering, LDA</w:t>
      </w:r>
    </w:p>
    <w:p w:rsidR="00000000" w:rsidDel="00000000" w:rsidP="00000000" w:rsidRDefault="00000000" w:rsidRPr="00000000" w14:paraId="0000000E">
      <w:pPr>
        <w:numPr>
          <w:ilvl w:val="2"/>
          <w:numId w:val="1"/>
        </w:numPr>
        <w:spacing w:line="480" w:lineRule="auto"/>
        <w:ind w:left="2160" w:hanging="360"/>
        <w:rPr>
          <w:rFonts w:ascii="Georgia" w:cs="Georgia" w:eastAsia="Georgia" w:hAnsi="Georgia"/>
          <w:u w:val="none"/>
        </w:rPr>
      </w:pPr>
      <w:r w:rsidDel="00000000" w:rsidR="00000000" w:rsidRPr="00000000">
        <w:rPr>
          <w:rFonts w:ascii="Georgia" w:cs="Georgia" w:eastAsia="Georgia" w:hAnsi="Georgia"/>
          <w:rtl w:val="0"/>
        </w:rPr>
        <w:t xml:space="preserve">Note: If inappropriate to your data, justification for exclusion may be provided instead.</w:t>
      </w:r>
    </w:p>
    <w:p w:rsidR="00000000" w:rsidDel="00000000" w:rsidP="00000000" w:rsidRDefault="00000000" w:rsidRPr="00000000" w14:paraId="0000000F">
      <w:pPr>
        <w:spacing w:line="48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PCA</w:t>
      </w:r>
    </w:p>
    <w:p w:rsidR="00000000" w:rsidDel="00000000" w:rsidP="00000000" w:rsidRDefault="00000000" w:rsidRPr="00000000" w14:paraId="00000010">
      <w:pPr>
        <w:spacing w:line="48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PC1: General Chronic Disease Burden</w:t>
      </w:r>
    </w:p>
    <w:p w:rsidR="00000000" w:rsidDel="00000000" w:rsidP="00000000" w:rsidRDefault="00000000" w:rsidRPr="00000000" w14:paraId="00000011">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High arthritis, COPD, kidney disease, blood pressure meds, cholesterol, poor screening - overall unhealthiness.</w:t>
      </w:r>
    </w:p>
    <w:p w:rsidR="00000000" w:rsidDel="00000000" w:rsidP="00000000" w:rsidRDefault="00000000" w:rsidRPr="00000000" w14:paraId="00000012">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This is probably the one that will correlate most strongly with your ailment bucket score.</w:t>
      </w:r>
    </w:p>
    <w:p w:rsidR="00000000" w:rsidDel="00000000" w:rsidP="00000000" w:rsidRDefault="00000000" w:rsidRPr="00000000" w14:paraId="00000013">
      <w:pPr>
        <w:spacing w:line="48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PC2: Mobility &amp; Activity Limitation vs Preventative Care</w:t>
      </w:r>
    </w:p>
    <w:p w:rsidR="00000000" w:rsidDel="00000000" w:rsidP="00000000" w:rsidRDefault="00000000" w:rsidRPr="00000000" w14:paraId="00000014">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High disability, high inactivity, poor movement &amp; functional health vs</w:t>
      </w:r>
    </w:p>
    <w:p w:rsidR="00000000" w:rsidDel="00000000" w:rsidP="00000000" w:rsidRDefault="00000000" w:rsidRPr="00000000" w14:paraId="00000015">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lower screening, fewer doctor visits.</w:t>
      </w:r>
    </w:p>
    <w:p w:rsidR="00000000" w:rsidDel="00000000" w:rsidP="00000000" w:rsidRDefault="00000000" w:rsidRPr="00000000" w14:paraId="00000016">
      <w:pPr>
        <w:spacing w:line="48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PC3: Minor disability-related nuance</w:t>
      </w:r>
    </w:p>
    <w:p w:rsidR="00000000" w:rsidDel="00000000" w:rsidP="00000000" w:rsidRDefault="00000000" w:rsidRPr="00000000" w14:paraId="00000017">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Small additional pattern.</w:t>
      </w:r>
      <w:r w:rsidDel="00000000" w:rsidR="00000000" w:rsidRPr="00000000">
        <w:rPr>
          <w:rtl w:val="0"/>
        </w:rPr>
      </w:r>
    </w:p>
    <w:p w:rsidR="00000000" w:rsidDel="00000000" w:rsidP="00000000" w:rsidRDefault="00000000" w:rsidRPr="00000000" w14:paraId="00000018">
      <w:pPr>
        <w:spacing w:line="48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Explained Variance</w:t>
      </w:r>
    </w:p>
    <w:p w:rsidR="00000000" w:rsidDel="00000000" w:rsidP="00000000" w:rsidRDefault="00000000" w:rsidRPr="00000000" w14:paraId="00000019">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Component</w:t>
        <w:tab/>
        <w:t xml:space="preserve">Variance Explained</w:t>
        <w:tab/>
        <w:t xml:space="preserve">Cumulative Variance</w:t>
      </w:r>
    </w:p>
    <w:p w:rsidR="00000000" w:rsidDel="00000000" w:rsidP="00000000" w:rsidRDefault="00000000" w:rsidRPr="00000000" w14:paraId="0000001A">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PC1</w:t>
        <w:tab/>
        <w:tab/>
        <w:t xml:space="preserve">0.38013072</w:t>
        <w:tab/>
        <w:tab/>
        <w:t xml:space="preserve">0.38013072</w:t>
      </w:r>
    </w:p>
    <w:p w:rsidR="00000000" w:rsidDel="00000000" w:rsidP="00000000" w:rsidRDefault="00000000" w:rsidRPr="00000000" w14:paraId="0000001B">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PC2</w:t>
        <w:tab/>
        <w:tab/>
        <w:t xml:space="preserve">0.32628495</w:t>
        <w:tab/>
        <w:tab/>
        <w:t xml:space="preserve">0.70641567</w:t>
      </w:r>
    </w:p>
    <w:p w:rsidR="00000000" w:rsidDel="00000000" w:rsidP="00000000" w:rsidRDefault="00000000" w:rsidRPr="00000000" w14:paraId="0000001C">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PC3</w:t>
        <w:tab/>
        <w:tab/>
        <w:t xml:space="preserve">0.07864530</w:t>
        <w:tab/>
        <w:tab/>
        <w:t xml:space="preserve">0.78506096</w:t>
      </w:r>
    </w:p>
    <w:p w:rsidR="00000000" w:rsidDel="00000000" w:rsidP="00000000" w:rsidRDefault="00000000" w:rsidRPr="00000000" w14:paraId="0000001D">
      <w:pPr>
        <w:spacing w:line="480" w:lineRule="auto"/>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01E">
      <w:pPr>
        <w:spacing w:line="48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PCA Loadings Table</w:t>
      </w:r>
    </w:p>
    <w:p w:rsidR="00000000" w:rsidDel="00000000" w:rsidP="00000000" w:rsidRDefault="00000000" w:rsidRPr="00000000" w14:paraId="0000001F">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Variable</w:t>
        <w:tab/>
        <w:tab/>
        <w:tab/>
        <w:tab/>
        <w:tab/>
        <w:t xml:space="preserve">PC1</w:t>
        <w:tab/>
        <w:tab/>
        <w:t xml:space="preserve">PC2</w:t>
        <w:tab/>
        <w:tab/>
        <w:t xml:space="preserve">PC3</w:t>
      </w:r>
    </w:p>
    <w:p w:rsidR="00000000" w:rsidDel="00000000" w:rsidP="00000000" w:rsidRDefault="00000000" w:rsidRPr="00000000" w14:paraId="00000020">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CDCP_ARTHRITIS_ADULT_C_ZC</w:t>
        <w:tab/>
        <w:tab/>
        <w:t xml:space="preserve">-0.437934</w:t>
        <w:tab/>
        <w:t xml:space="preserve">-0.022096</w:t>
        <w:tab/>
        <w:t xml:space="preserve">0.007703</w:t>
      </w:r>
    </w:p>
    <w:p w:rsidR="00000000" w:rsidDel="00000000" w:rsidP="00000000" w:rsidRDefault="00000000" w:rsidRPr="00000000" w14:paraId="00000021">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CDCP_CHOLES_ADULT_C_ZC</w:t>
        <w:tab/>
        <w:tab/>
        <w:t xml:space="preserve">-0.416032</w:t>
        <w:tab/>
        <w:t xml:space="preserve">-0.133100</w:t>
        <w:tab/>
        <w:t xml:space="preserve">-0.040977</w:t>
      </w:r>
    </w:p>
    <w:p w:rsidR="00000000" w:rsidDel="00000000" w:rsidP="00000000" w:rsidRDefault="00000000" w:rsidRPr="00000000" w14:paraId="00000022">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CDCP_BLOOD_MED_ADULT_C_ZC</w:t>
        <w:tab/>
        <w:t xml:space="preserve">-0.406285</w:t>
        <w:tab/>
        <w:t xml:space="preserve">-0.126491</w:t>
        <w:tab/>
        <w:t xml:space="preserve">-0.099341</w:t>
      </w:r>
    </w:p>
    <w:p w:rsidR="00000000" w:rsidDel="00000000" w:rsidP="00000000" w:rsidRDefault="00000000" w:rsidRPr="00000000" w14:paraId="00000023">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CDCP_KIDNEY_DISEASE_ADULT_C_ZC</w:t>
        <w:tab/>
        <w:t xml:space="preserve">-0.361502</w:t>
        <w:tab/>
        <w:t xml:space="preserve">0.231065</w:t>
        <w:tab/>
        <w:t xml:space="preserve">-0.137855</w:t>
      </w:r>
    </w:p>
    <w:p w:rsidR="00000000" w:rsidDel="00000000" w:rsidP="00000000" w:rsidRDefault="00000000" w:rsidRPr="00000000" w14:paraId="00000024">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CDCP_DOCTOR_VISIT_ADULT_C_ZC</w:t>
        <w:tab/>
        <w:t xml:space="preserve">-0.328781</w:t>
        <w:tab/>
        <w:t xml:space="preserve">-0.267066</w:t>
        <w:tab/>
        <w:t xml:space="preserve">0.030631</w:t>
      </w:r>
    </w:p>
    <w:p w:rsidR="00000000" w:rsidDel="00000000" w:rsidP="00000000" w:rsidRDefault="00000000" w:rsidRPr="00000000" w14:paraId="00000025">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CDCP_PULMONARY_ADULT_C_ZC</w:t>
        <w:tab/>
        <w:t xml:space="preserve">-0.328273</w:t>
        <w:tab/>
        <w:t xml:space="preserve">0.288861</w:t>
        <w:tab/>
        <w:t xml:space="preserve">-0.060938</w:t>
      </w:r>
    </w:p>
    <w:p w:rsidR="00000000" w:rsidDel="00000000" w:rsidP="00000000" w:rsidRDefault="00000000" w:rsidRPr="00000000" w14:paraId="00000026">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CDCP_CHOLES_SCR_ADULT_C_ZC</w:t>
        <w:tab/>
        <w:t xml:space="preserve">-0.269286</w:t>
        <w:tab/>
        <w:t xml:space="preserve">-0.362618</w:t>
        <w:tab/>
        <w:t xml:space="preserve">0.091509</w:t>
      </w:r>
    </w:p>
    <w:p w:rsidR="00000000" w:rsidDel="00000000" w:rsidP="00000000" w:rsidRDefault="00000000" w:rsidRPr="00000000" w14:paraId="00000027">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ACS_PCT_DISABLE_ZC</w:t>
        <w:tab/>
        <w:tab/>
        <w:tab/>
        <w:t xml:space="preserve">-0.168056</w:t>
        <w:tab/>
        <w:t xml:space="preserve">0.256984</w:t>
        <w:tab/>
        <w:t xml:space="preserve">0.191152</w:t>
      </w:r>
    </w:p>
    <w:p w:rsidR="00000000" w:rsidDel="00000000" w:rsidP="00000000" w:rsidRDefault="00000000" w:rsidRPr="00000000" w14:paraId="00000028">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CDCP_NO_PHY_ACTV_ADULT_C_ZC</w:t>
        <w:tab/>
        <w:t xml:space="preserve">-0.114021</w:t>
        <w:tab/>
        <w:t xml:space="preserve">0.426301</w:t>
        <w:tab/>
        <w:t xml:space="preserve">-0.162539</w:t>
      </w:r>
    </w:p>
    <w:p w:rsidR="00000000" w:rsidDel="00000000" w:rsidP="00000000" w:rsidRDefault="00000000" w:rsidRPr="00000000" w14:paraId="00000029">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ACS_PCT_NONVET_DISABLE_18_64_ZC</w:t>
        <w:tab/>
        <w:t xml:space="preserve">-0.070455</w:t>
        <w:tab/>
        <w:t xml:space="preserve">0.359666</w:t>
        <w:tab/>
        <w:t xml:space="preserve">0.229194</w:t>
      </w:r>
    </w:p>
    <w:p w:rsidR="00000000" w:rsidDel="00000000" w:rsidP="00000000" w:rsidRDefault="00000000" w:rsidRPr="00000000" w14:paraId="0000002A">
      <w:pPr>
        <w:spacing w:line="480" w:lineRule="auto"/>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02B">
      <w:pPr>
        <w:spacing w:line="480" w:lineRule="auto"/>
        <w:ind w:left="0" w:firstLine="0"/>
        <w:rPr>
          <w:rFonts w:ascii="Georgia" w:cs="Georgia" w:eastAsia="Georgia" w:hAnsi="Georgia"/>
          <w:b w:val="1"/>
          <w:bCs w:val="1"/>
        </w:rPr>
      </w:pPr>
      <w:r w:rsidDel="00000000" w:rsidR="00000000" w:rsidRPr="00000000">
        <w:rPr>
          <w:rFonts w:ascii="Georgia" w:cs="Georgia" w:eastAsia="Georgia" w:hAnsi="Georgia"/>
          <w:b w:val="1"/>
          <w:bCs w:val="1"/>
          <w:rtl w:val="0"/>
        </w:rPr>
        <w:t xml:space="preserve">PC and Zip_Bucket_Score Correlation</w:t>
      </w:r>
    </w:p>
    <w:p w:rsidR="00000000" w:rsidDel="00000000" w:rsidP="00000000" w:rsidRDefault="00000000" w:rsidRPr="00000000" w14:paraId="0000002C">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ab/>
        <w:t xml:space="preserve">PC1</w:t>
        <w:tab/>
        <w:tab/>
        <w:tab/>
        <w:t xml:space="preserve">PC2</w:t>
        <w:tab/>
        <w:tab/>
        <w:tab/>
        <w:t xml:space="preserve">PC3</w:t>
        <w:tab/>
        <w:tab/>
        <w:tab/>
        <w:t xml:space="preserve">zip_bucket_score</w:t>
      </w:r>
    </w:p>
    <w:p w:rsidR="00000000" w:rsidDel="00000000" w:rsidP="00000000" w:rsidRDefault="00000000" w:rsidRPr="00000000" w14:paraId="0000002D">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PC1</w:t>
        <w:tab/>
        <w:t xml:space="preserve">1.000000e+00</w:t>
        <w:tab/>
        <w:t xml:space="preserve">4.022556e-16</w:t>
        <w:tab/>
        <w:tab/>
        <w:t xml:space="preserve">-7.147435e-17</w:t>
        <w:tab/>
        <w:tab/>
        <w:t xml:space="preserve">-0.761017</w:t>
      </w:r>
    </w:p>
    <w:p w:rsidR="00000000" w:rsidDel="00000000" w:rsidP="00000000" w:rsidRDefault="00000000" w:rsidRPr="00000000" w14:paraId="0000002E">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PC2</w:t>
        <w:tab/>
        <w:t xml:space="preserve">4.022556e-16</w:t>
        <w:tab/>
        <w:tab/>
        <w:t xml:space="preserve">1.000000e+00</w:t>
        <w:tab/>
        <w:t xml:space="preserve">4.249349e-16</w:t>
        <w:tab/>
        <w:tab/>
        <w:t xml:space="preserve">0.403676</w:t>
      </w:r>
    </w:p>
    <w:p w:rsidR="00000000" w:rsidDel="00000000" w:rsidP="00000000" w:rsidRDefault="00000000" w:rsidRPr="00000000" w14:paraId="0000002F">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PC3</w:t>
        <w:tab/>
        <w:t xml:space="preserve">-7.147435e-17</w:t>
        <w:tab/>
        <w:tab/>
        <w:t xml:space="preserve">4.249349e-16</w:t>
        <w:tab/>
        <w:tab/>
        <w:t xml:space="preserve">1.000000e+00</w:t>
        <w:tab/>
        <w:t xml:space="preserve">-0.036937</w:t>
      </w:r>
    </w:p>
    <w:p w:rsidR="00000000" w:rsidDel="00000000" w:rsidP="00000000" w:rsidRDefault="00000000" w:rsidRPr="00000000" w14:paraId="00000030">
      <w:pPr>
        <w:spacing w:line="480" w:lineRule="auto"/>
        <w:ind w:left="0" w:firstLine="0"/>
        <w:rPr>
          <w:rFonts w:ascii="Georgia" w:cs="Georgia" w:eastAsia="Georgia" w:hAnsi="Georgia"/>
        </w:rPr>
      </w:pPr>
      <w:r w:rsidDel="00000000" w:rsidR="00000000" w:rsidRPr="00000000">
        <w:rPr>
          <w:rFonts w:ascii="Georgia" w:cs="Georgia" w:eastAsia="Georgia" w:hAnsi="Georgia"/>
          <w:rtl w:val="0"/>
        </w:rPr>
        <w:t xml:space="preserve">zip_bucket_score</w:t>
        <w:tab/>
        <w:t xml:space="preserve">-7.610166e-01</w:t>
        <w:tab/>
        <w:t xml:space="preserve">4.036758e-01</w:t>
        <w:tab/>
        <w:t xml:space="preserve">-3.693718e-02</w:t>
        <w:tab/>
        <w:tab/>
        <w:t xml:space="preserve">1.000000</w:t>
      </w:r>
    </w:p>
    <w:p w:rsidR="00000000" w:rsidDel="00000000" w:rsidP="00000000" w:rsidRDefault="00000000" w:rsidRPr="00000000" w14:paraId="00000031">
      <w:pPr>
        <w:spacing w:line="480" w:lineRule="auto"/>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032">
      <w:pPr>
        <w:numPr>
          <w:ilvl w:val="1"/>
          <w:numId w:val="1"/>
        </w:numPr>
        <w:spacing w:line="480" w:lineRule="auto"/>
        <w:ind w:left="1440" w:hanging="360"/>
        <w:rPr>
          <w:rFonts w:ascii="Georgia" w:cs="Georgia" w:eastAsia="Georgia" w:hAnsi="Georgia"/>
          <w:u w:val="none"/>
        </w:rPr>
      </w:pPr>
      <w:r w:rsidDel="00000000" w:rsidR="00000000" w:rsidRPr="00000000">
        <w:rPr>
          <w:rFonts w:ascii="Georgia" w:cs="Georgia" w:eastAsia="Georgia" w:hAnsi="Georgia"/>
          <w:rtl w:val="0"/>
        </w:rPr>
        <w:t xml:space="preserve">A plan for how supervised methods will be used for feature engineering</w:t>
      </w:r>
    </w:p>
    <w:p w:rsidR="00000000" w:rsidDel="00000000" w:rsidP="00000000" w:rsidRDefault="00000000" w:rsidRPr="00000000" w14:paraId="00000033">
      <w:pPr>
        <w:numPr>
          <w:ilvl w:val="2"/>
          <w:numId w:val="1"/>
        </w:numPr>
        <w:spacing w:line="480" w:lineRule="auto"/>
        <w:ind w:left="2160" w:hanging="360"/>
        <w:rPr>
          <w:rFonts w:ascii="Georgia" w:cs="Georgia" w:eastAsia="Georgia" w:hAnsi="Georgia"/>
          <w:u w:val="none"/>
        </w:rPr>
      </w:pPr>
      <w:r w:rsidDel="00000000" w:rsidR="00000000" w:rsidRPr="00000000">
        <w:rPr>
          <w:rFonts w:ascii="Georgia" w:cs="Georgia" w:eastAsia="Georgia" w:hAnsi="Georgia"/>
          <w:rtl w:val="0"/>
        </w:rPr>
        <w:t xml:space="preserve">Note: You are not expected to have performed this at this stage but you are welcome to start.</w:t>
      </w:r>
    </w:p>
    <w:p w:rsidR="00000000" w:rsidDel="00000000" w:rsidP="00000000" w:rsidRDefault="00000000" w:rsidRPr="00000000" w14:paraId="00000034">
      <w:pPr>
        <w:numPr>
          <w:ilvl w:val="0"/>
          <w:numId w:val="1"/>
        </w:numPr>
        <w:spacing w:line="480" w:lineRule="auto"/>
        <w:ind w:left="720" w:hanging="360"/>
        <w:rPr>
          <w:rFonts w:ascii="Georgia" w:cs="Georgia" w:eastAsia="Georgia" w:hAnsi="Georgia"/>
          <w:u w:val="none"/>
        </w:rPr>
      </w:pPr>
      <w:r w:rsidDel="00000000" w:rsidR="00000000" w:rsidRPr="00000000">
        <w:rPr>
          <w:rFonts w:ascii="Georgia" w:cs="Georgia" w:eastAsia="Georgia" w:hAnsi="Georgia"/>
          <w:rtl w:val="0"/>
        </w:rPr>
        <w:t xml:space="preserve">You are allowed to be selective. You do not need to include every test you tried; however, make sure to give enough detail to bolster justifications or describe how your analysis plan is evolving.</w:t>
      </w:r>
    </w:p>
    <w:p w:rsidR="00000000" w:rsidDel="00000000" w:rsidP="00000000" w:rsidRDefault="00000000" w:rsidRPr="00000000" w14:paraId="00000035">
      <w:pPr>
        <w:numPr>
          <w:ilvl w:val="1"/>
          <w:numId w:val="1"/>
        </w:numPr>
        <w:spacing w:line="480" w:lineRule="auto"/>
        <w:ind w:left="1440" w:hanging="360"/>
        <w:rPr>
          <w:rFonts w:ascii="Georgia" w:cs="Georgia" w:eastAsia="Georgia" w:hAnsi="Georgia"/>
          <w:u w:val="none"/>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shua Stoltzfus" w:id="0" w:date="2025-11-24T15:27:06Z">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PCA will allow us to identify what features are a latent together, such that we can compress features into "latent dimensions" as composite predictors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