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Elektrotehnicki fakultet u Beogradu</w:t>
      </w:r>
    </w:p>
    <w:p>
      <w:pPr>
        <w:pStyle w:val="Normal"/>
        <w:jc w:val="center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Principi softverskog inzenjerstva (SI3PSI)</w:t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r>
    </w:p>
    <w:p>
      <w:pPr>
        <w:pStyle w:val="Normal"/>
        <w:jc w:val="center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PROJEKTNI ZADATAK</w:t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r>
    </w:p>
    <w:p>
      <w:pPr>
        <w:pStyle w:val="Normal"/>
        <w:bidi w:val="0"/>
        <w:spacing w:lineRule="auto" w:line="276" w:beforeAutospacing="0" w:before="0" w:afterAutospacing="0" w:after="160"/>
        <w:ind w:left="0" w:right="0" w:hanging="0"/>
        <w:jc w:val="center"/>
        <w:rPr/>
      </w:pPr>
      <w:r>
        <w:rPr>
          <w:rFonts w:eastAsia="Aptos" w:cs="Aptos" w:ascii="Aptos" w:hAnsi="Aptos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48"/>
          <w:szCs w:val="48"/>
          <w:lang w:val="en-US"/>
        </w:rPr>
        <w:t>Specifikacija scenarija upotrebe funkcionalnosti unošenja osobina trenera</w:t>
      </w:r>
    </w:p>
    <w:p>
      <w:pPr>
        <w:pStyle w:val="Normal"/>
        <w:jc w:val="center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48"/>
          <w:szCs w:val="48"/>
          <w:lang w:val="en-US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48"/>
          <w:szCs w:val="48"/>
          <w:lang w:val="en-US"/>
        </w:rPr>
      </w:r>
    </w:p>
    <w:p>
      <w:pPr>
        <w:pStyle w:val="Normal"/>
        <w:jc w:val="center"/>
        <w:rPr/>
      </w:pPr>
      <w:r>
        <w:rPr>
          <w:rStyle w:val="Heading2Char"/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  <w:t>Verzija 1.0</w:t>
      </w:r>
      <w:r>
        <w:br w:type="page"/>
      </w:r>
    </w:p>
    <w:p>
      <w:pPr>
        <w:pStyle w:val="Normal"/>
        <w:jc w:val="center"/>
        <w:rPr/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  <w:t>Istorija izmena</w:t>
      </w:r>
    </w:p>
    <w:tbl>
      <w:tblPr>
        <w:tblStyle w:val="TableGrid"/>
        <w:tblW w:w="9361" w:type="dxa"/>
        <w:jc w:val="left"/>
        <w:tblInd w:w="0" w:type="dxa"/>
        <w:tblBorders>
          <w:top w:val="single" w:sz="6" w:space="0" w:color="000000"/>
          <w:left w:val="single" w:sz="6" w:space="0" w:color="000000"/>
        </w:tblBorders>
        <w:tblCellMar>
          <w:top w:w="0" w:type="dxa"/>
          <w:left w:w="105" w:type="dxa"/>
          <w:bottom w:w="0" w:type="dxa"/>
          <w:right w:w="105" w:type="dxa"/>
        </w:tblCellMar>
        <w:tblLook w:noVBand="1" w:val="06a0" w:noHBand="1" w:lastColumn="0" w:firstColumn="1" w:lastRow="0" w:firstRow="1"/>
      </w:tblPr>
      <w:tblGrid>
        <w:gridCol w:w="2340"/>
        <w:gridCol w:w="2340"/>
        <w:gridCol w:w="2340"/>
        <w:gridCol w:w="2340"/>
      </w:tblGrid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sz w:val="24"/>
                <w:szCs w:val="24"/>
                <w:lang w:val="en-US"/>
              </w:rPr>
              <w:t>Datum</w:t>
            </w:r>
          </w:p>
        </w:tc>
        <w:tc>
          <w:tcPr>
            <w:tcW w:w="2340" w:type="dxa"/>
            <w:tcBorders>
              <w:top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sz w:val="24"/>
                <w:szCs w:val="24"/>
                <w:lang w:val="en-US"/>
              </w:rPr>
              <w:t>Verzija</w:t>
            </w:r>
          </w:p>
        </w:tc>
        <w:tc>
          <w:tcPr>
            <w:tcW w:w="2340" w:type="dxa"/>
            <w:tcBorders>
              <w:top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sz w:val="24"/>
                <w:szCs w:val="24"/>
                <w:lang w:val="en-US"/>
              </w:rPr>
              <w:t>Kratak opis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sz w:val="24"/>
                <w:szCs w:val="24"/>
                <w:lang w:val="en-US"/>
              </w:rPr>
              <w:t>Autor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left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12.8.2025</w:t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1.0</w:t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Inicijalna verzija</w:t>
            </w:r>
          </w:p>
        </w:tc>
        <w:tc>
          <w:tcPr>
            <w:tcW w:w="2340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Mihajlo Stojanović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left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left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rStyle w:val="Heading2Char"/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r>
      <w:r>
        <w:br w:type="page"/>
      </w:r>
    </w:p>
    <w:p>
      <w:pPr>
        <w:pStyle w:val="Normal"/>
        <w:spacing w:lineRule="auto" w:line="276" w:beforeAutospacing="0" w:before="0" w:afterAutospacing="0" w:after="160"/>
        <w:ind w:left="0" w:right="0" w:hanging="0"/>
        <w:jc w:val="center"/>
        <w:rPr/>
      </w:pPr>
      <w:r>
        <w:rPr>
          <w:rFonts w:eastAsia="Aptos" w:cs="Aptos" w:ascii="Aptos" w:hAnsi="Aptos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  <w:t>Sadržaj</w:t>
      </w:r>
    </w:p>
    <w:p>
      <w:pPr>
        <w:sectPr>
          <w:type w:val="nextPage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76" w:beforeAutospacing="0" w:before="0" w:afterAutospacing="0" w:after="160"/>
        <w:ind w:left="0" w:right="0" w:hanging="0"/>
        <w:jc w:val="center"/>
        <w:rPr>
          <w:rFonts w:ascii="Aptos" w:hAnsi="Aptos" w:eastAsia="Aptos" w:cs="Aptos"/>
          <w:b/>
          <w:b/>
          <w:bCs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</w:pPr>
      <w:r>
        <w:rPr>
          <w:rFonts w:eastAsia="Aptos" w:cs="Aptos" w:ascii="Aptos" w:hAnsi="Aptos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uppressLineNumbers/>
            <w:ind w:lef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br/>
          </w:r>
        </w:p>
        <w:p>
          <w:pPr>
            <w:pStyle w:val="Contents1"/>
            <w:tabs>
              <w:tab w:val="clear" w:pos="709"/>
              <w:tab w:val="right" w:pos="9638" w:leader="dot"/>
            </w:tabs>
            <w:rPr/>
          </w:pPr>
          <w:r>
            <w:fldChar w:fldCharType="begin"/>
          </w:r>
          <w:r>
            <w:rPr>
              <w:rStyle w:val="IndexLink"/>
              <w:i w:val="false"/>
              <w:iCs w:val="false"/>
            </w:rPr>
            <w:instrText> TOC \o "1-9" \h</w:instrText>
          </w:r>
          <w:r>
            <w:rPr>
              <w:rStyle w:val="IndexLink"/>
              <w:i w:val="false"/>
              <w:iCs w:val="false"/>
            </w:rPr>
            <w:fldChar w:fldCharType="separate"/>
          </w:r>
          <w:hyperlink w:anchor="__RefHeading___Toc893_2789791089">
            <w:r>
              <w:rPr>
                <w:rStyle w:val="IndexLink"/>
                <w:i w:val="false"/>
                <w:iCs w:val="false"/>
              </w:rPr>
              <w:t>Uvod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709"/>
              <w:tab w:val="right" w:pos="9638" w:leader="dot"/>
            </w:tabs>
            <w:rPr/>
          </w:pPr>
          <w:hyperlink w:anchor="__RefHeading___Toc366_2789791089">
            <w:r>
              <w:rPr>
                <w:rStyle w:val="IndexLink"/>
              </w:rPr>
              <w:t xml:space="preserve">1.1. </w:t>
            </w:r>
            <w:r>
              <w:rPr>
                <w:rStyle w:val="IndexLink"/>
                <w:i w:val="false"/>
                <w:iCs w:val="false"/>
              </w:rPr>
              <w:t>Rezime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709"/>
              <w:tab w:val="right" w:pos="9638" w:leader="dot"/>
            </w:tabs>
            <w:rPr/>
          </w:pPr>
          <w:hyperlink w:anchor="__RefHeading___Toc368_2789791089">
            <w:r>
              <w:rPr>
                <w:rStyle w:val="IndexLink"/>
              </w:rPr>
              <w:t xml:space="preserve">2.1. </w:t>
            </w:r>
            <w:r>
              <w:rPr>
                <w:rStyle w:val="IndexLink"/>
                <w:i w:val="false"/>
                <w:iCs w:val="false"/>
              </w:rPr>
              <w:t>Namena dokumenta i ciljne grupe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709"/>
              <w:tab w:val="right" w:pos="9638" w:leader="dot"/>
            </w:tabs>
            <w:rPr/>
          </w:pPr>
          <w:hyperlink w:anchor="__RefHeading___Toc370_2789791089">
            <w:r>
              <w:rPr>
                <w:rStyle w:val="IndexLink"/>
              </w:rPr>
              <w:t xml:space="preserve">3.1. </w:t>
            </w:r>
            <w:r>
              <w:rPr>
                <w:rStyle w:val="IndexLink"/>
                <w:i w:val="false"/>
                <w:iCs w:val="false"/>
              </w:rPr>
              <w:t>Reference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709"/>
              <w:tab w:val="right" w:pos="9638" w:leader="dot"/>
            </w:tabs>
            <w:rPr/>
          </w:pPr>
          <w:hyperlink w:anchor="__RefHeading___Toc372_2789791089">
            <w:r>
              <w:rPr>
                <w:rStyle w:val="IndexLink"/>
              </w:rPr>
              <w:t xml:space="preserve">3.2. </w:t>
            </w:r>
            <w:r>
              <w:rPr>
                <w:rStyle w:val="IndexLink"/>
                <w:i w:val="false"/>
                <w:iCs w:val="false"/>
              </w:rPr>
              <w:t>Otvorena pitanja</w:t>
            </w:r>
            <w:r>
              <w:rPr>
                <w:rStyle w:val="IndexLink"/>
              </w:rPr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  <w:p>
          <w:pPr>
            <w:sectPr>
              <w:type w:val="continuous"/>
              <w:pgSz w:w="11906" w:h="16838"/>
              <w:pgMar w:left="1134" w:right="1134" w:header="0" w:top="1134" w:footer="0" w:bottom="1134" w:gutter="0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Normal"/>
        <w:rPr>
          <w:rStyle w:val="Heading2Char"/>
          <w:rFonts w:ascii="Calibri" w:hAnsi="Calibri"/>
        </w:rPr>
      </w:pPr>
      <w:r>
        <w:rPr>
          <w:rFonts w:ascii="Calibri" w:hAnsi="Calibri"/>
        </w:rPr>
      </w:r>
      <w:r>
        <w:br w:type="page"/>
      </w:r>
    </w:p>
    <w:p>
      <w:pPr>
        <w:pStyle w:val="Heading1"/>
        <w:keepNext w:val="true"/>
        <w:keepLines/>
        <w:numPr>
          <w:ilvl w:val="0"/>
          <w:numId w:val="0"/>
        </w:numPr>
        <w:spacing w:before="360" w:after="80"/>
        <w:ind w:left="720" w:hanging="0"/>
        <w:rPr>
          <w:rFonts w:ascii="Calibri" w:hAnsi="Calibri"/>
        </w:rPr>
      </w:pPr>
      <w:bookmarkStart w:id="0" w:name="__RefHeading___Toc893_2789791089"/>
      <w:bookmarkStart w:id="1" w:name="_Toc1937991925"/>
      <w:bookmarkEnd w:id="0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  <w:t>Uvod</w:t>
      </w:r>
      <w:bookmarkEnd w:id="1"/>
    </w:p>
    <w:p>
      <w:pPr>
        <w:pStyle w:val="Heading2"/>
        <w:keepNext w:val="true"/>
        <w:keepLines/>
        <w:numPr>
          <w:ilvl w:val="1"/>
          <w:numId w:val="1"/>
        </w:numPr>
        <w:spacing w:before="360" w:after="80"/>
        <w:jc w:val="left"/>
        <w:rPr>
          <w:rFonts w:ascii="Calibri" w:hAnsi="Calibri"/>
        </w:rPr>
      </w:pPr>
      <w:bookmarkStart w:id="2" w:name="__RefHeading___Toc366_2789791089"/>
      <w:bookmarkStart w:id="3" w:name="_Toc1500080496"/>
      <w:bookmarkEnd w:id="2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Rezime</w:t>
      </w:r>
      <w:bookmarkEnd w:id="3"/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Definisanje scenarija </w:t>
      </w:r>
      <w:r>
        <w:rPr>
          <w:rStyle w:val="Heading2Char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lang w:val="en-US"/>
        </w:rPr>
        <w:t>preporuke</w:t>
      </w:r>
      <w:r>
        <w:rPr>
          <w:rStyle w:val="Heading2Char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lang w:val="en-US"/>
        </w:rPr>
        <w:t xml:space="preserve"> trenera</w:t>
      </w:r>
      <w:r>
        <w:rPr>
          <w:rStyle w:val="Heading2Char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z w:val="26"/>
          <w:szCs w:val="26"/>
          <w:lang w:val="en-US"/>
        </w:rPr>
        <w:t xml:space="preserve">, </w:t>
      </w: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sa primerima odgovarajućih html stranica.</w:t>
      </w:r>
    </w:p>
    <w:p>
      <w:pPr>
        <w:pStyle w:val="Heading2"/>
        <w:keepNext w:val="true"/>
        <w:keepLines/>
        <w:numPr>
          <w:ilvl w:val="1"/>
          <w:numId w:val="1"/>
        </w:numPr>
        <w:spacing w:before="360" w:after="80"/>
        <w:rPr>
          <w:rFonts w:ascii="Calibri" w:hAnsi="Calibri"/>
        </w:rPr>
      </w:pPr>
      <w:bookmarkStart w:id="4" w:name="__RefHeading___Toc368_2789791089"/>
      <w:bookmarkStart w:id="5" w:name="_Toc1070036982"/>
      <w:bookmarkEnd w:id="4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Namena dokumenta i ciljne grupe</w:t>
      </w:r>
      <w:bookmarkEnd w:id="5"/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Dokument će koristiti svi članovi projektnog tima u razvoju projekta i testiranju a može se koristiti i pri pisanju uputstva za upotrebu.</w:t>
      </w:r>
    </w:p>
    <w:p>
      <w:pPr>
        <w:pStyle w:val="Heading2"/>
        <w:keepNext w:val="true"/>
        <w:keepLines/>
        <w:numPr>
          <w:ilvl w:val="1"/>
          <w:numId w:val="1"/>
        </w:numPr>
        <w:spacing w:before="360" w:after="80"/>
        <w:rPr>
          <w:rFonts w:ascii="Calibri" w:hAnsi="Calibri"/>
        </w:rPr>
      </w:pPr>
      <w:bookmarkStart w:id="6" w:name="__RefHeading___Toc370_2789791089"/>
      <w:bookmarkStart w:id="7" w:name="_Toc996330702"/>
      <w:bookmarkEnd w:id="6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Reference</w:t>
      </w:r>
      <w:bookmarkEnd w:id="7"/>
    </w:p>
    <w:p>
      <w:pPr>
        <w:pStyle w:val="Normal"/>
        <w:numPr>
          <w:ilvl w:val="0"/>
          <w:numId w:val="0"/>
        </w:numPr>
        <w:ind w:left="144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1. Projektni zadatak </w:t>
      </w:r>
    </w:p>
    <w:p>
      <w:pPr>
        <w:pStyle w:val="Normal"/>
        <w:numPr>
          <w:ilvl w:val="0"/>
          <w:numId w:val="0"/>
        </w:numPr>
        <w:ind w:left="144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2. Uputstvo za pisanje specifikacije scenarija upotrebe funkcionalnosti</w:t>
      </w:r>
    </w:p>
    <w:p>
      <w:pPr>
        <w:pStyle w:val="Normal"/>
        <w:numPr>
          <w:ilvl w:val="0"/>
          <w:numId w:val="0"/>
        </w:numPr>
        <w:ind w:left="144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3. Guidelines – Use Case, Rational Unified Process 2000 </w:t>
      </w:r>
    </w:p>
    <w:p>
      <w:pPr>
        <w:pStyle w:val="Normal"/>
        <w:numPr>
          <w:ilvl w:val="0"/>
          <w:numId w:val="0"/>
        </w:numPr>
        <w:ind w:left="144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4. Guidelines – Use Case Storyboard, Rational Unified Process 2000</w:t>
      </w:r>
    </w:p>
    <w:p>
      <w:pPr>
        <w:pStyle w:val="Heading2"/>
        <w:keepNext w:val="true"/>
        <w:keepLines/>
        <w:numPr>
          <w:ilvl w:val="1"/>
          <w:numId w:val="1"/>
        </w:numPr>
        <w:spacing w:before="360" w:after="80"/>
        <w:rPr>
          <w:rFonts w:ascii="Calibri" w:hAnsi="Calibri"/>
        </w:rPr>
      </w:pPr>
      <w:bookmarkStart w:id="8" w:name="__RefHeading___Toc372_2789791089"/>
      <w:bookmarkStart w:id="9" w:name="_Toc732658542"/>
      <w:bookmarkEnd w:id="8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Otvorena pitanja</w:t>
      </w:r>
      <w:bookmarkEnd w:id="9"/>
    </w:p>
    <w:tbl>
      <w:tblPr>
        <w:tblStyle w:val="TableGrid"/>
        <w:tblW w:w="7921" w:type="dxa"/>
        <w:jc w:val="left"/>
        <w:tblInd w:w="0" w:type="dxa"/>
        <w:tblBorders>
          <w:top w:val="single" w:sz="6" w:space="0" w:color="000000"/>
          <w:left w:val="single" w:sz="6" w:space="0" w:color="000000"/>
        </w:tblBorders>
        <w:tblCellMar>
          <w:top w:w="0" w:type="dxa"/>
          <w:left w:w="105" w:type="dxa"/>
          <w:bottom w:w="0" w:type="dxa"/>
          <w:right w:w="105" w:type="dxa"/>
        </w:tblCellMar>
        <w:tblLook w:noVBand="1" w:val="06a0" w:noHBand="1" w:lastColumn="0" w:firstColumn="1" w:lastRow="0" w:firstRow="1"/>
      </w:tblPr>
      <w:tblGrid>
        <w:gridCol w:w="2640"/>
        <w:gridCol w:w="2640"/>
        <w:gridCol w:w="2641"/>
      </w:tblGrid>
      <w:tr>
        <w:trPr>
          <w:trHeight w:val="300" w:hRule="atLeast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Redni broj</w:t>
            </w:r>
          </w:p>
        </w:tc>
        <w:tc>
          <w:tcPr>
            <w:tcW w:w="2640" w:type="dxa"/>
            <w:tcBorders>
              <w:top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Opis</w:t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Rešenje</w:t>
            </w:r>
          </w:p>
        </w:tc>
      </w:tr>
      <w:tr>
        <w:trPr>
          <w:trHeight w:val="300" w:hRule="atLeast"/>
        </w:trPr>
        <w:tc>
          <w:tcPr>
            <w:tcW w:w="2640" w:type="dxa"/>
            <w:tcBorders>
              <w:left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0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1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640" w:type="dxa"/>
            <w:tcBorders>
              <w:left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0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1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640" w:type="dxa"/>
            <w:tcBorders>
              <w:left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0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1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0" w:type="dxa"/>
            <w:tcBorders>
              <w:top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</w:tbl>
    <w:p>
      <w:pPr>
        <w:pStyle w:val="Normal"/>
        <w:widowControl/>
        <w:numPr>
          <w:ilvl w:val="0"/>
          <w:numId w:val="0"/>
        </w:numPr>
        <w:bidi w:val="0"/>
        <w:ind w:left="720" w:hanging="0"/>
        <w:jc w:val="left"/>
        <w:rPr>
          <w:rStyle w:val="Heading2Char"/>
          <w:rFonts w:ascii="Calibri" w:hAnsi="Calibri"/>
          <w:color w:val="000000"/>
        </w:rPr>
      </w:pPr>
      <w:r>
        <w:rPr/>
      </w:r>
    </w:p>
    <w:p>
      <w:pPr>
        <w:pStyle w:val="Normal"/>
        <w:rPr>
          <w:rStyle w:val="Heading2Char"/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0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 xml:space="preserve">Scenario </w:t>
      </w:r>
      <w:bookmarkStart w:id="10" w:name="__DdeLink__1010_2789791089"/>
      <w:r>
        <w:rPr>
          <w:rStyle w:val="Heading2Char"/>
          <w:rFonts w:ascii="Calibri" w:hAnsi="Calibri"/>
          <w:color w:val="000000"/>
        </w:rPr>
        <w:t>preporuke</w:t>
      </w:r>
      <w:bookmarkEnd w:id="10"/>
      <w:r>
        <w:rPr>
          <w:rStyle w:val="Heading2Char"/>
          <w:rFonts w:ascii="Calibri" w:hAnsi="Calibri"/>
          <w:color w:val="000000"/>
        </w:rPr>
        <w:t xml:space="preserve"> trenera</w:t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Kratak opis</w:t>
      </w:r>
    </w:p>
    <w:p>
      <w:pPr>
        <w:pStyle w:val="Normal"/>
        <w:numPr>
          <w:ilvl w:val="0"/>
          <w:numId w:val="0"/>
        </w:numPr>
        <w:ind w:left="1800" w:hanging="0"/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Ovaj scenario opisuje proces automatskog preporučivanja trenera za igrača na platformi „CS2 Trainer“ na osnovu njegove statistike, rezultata ulaznog testa i unetih preferenci. Sistem analizira igračeve veštine (Counter-Strike 2 aspekte poput nišanjenja, pozicioniranja, donošenja odluka i refleksa), kao i preferencije (npr. stil treninga, raspoloživi budžet, jezik komunikacije), i upoređuje ih sa profilima trenera kako bi predložio najprikladnije trenere.</w:t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Tok događaja</w:t>
      </w:r>
    </w:p>
    <w:p>
      <w:pPr>
        <w:pStyle w:val="Normal"/>
        <w:numPr>
          <w:ilvl w:val="0"/>
          <w:numId w:val="0"/>
        </w:numPr>
        <w:ind w:left="1800" w:hanging="0"/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U ovom odeljku opisuje se glavni uspešni scenario preporuke trenera, kao i alternativni scenariji za različite situacije.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Uspešno preporučivanje trenera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se prijavljuje na platformu „CS2 Trainer“ i završava ulazni test.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pristupa odeljku „Preporuka trenera“ na platformi.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traži od igrača da unese preferencije za trenera, uključujući: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Stil treninga: fokus na nišanjenje, strategiju, timsku igru ili sveobuhvatni trening.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Raspoloživi budžet: raspon cena po satu (u EUR ili drugoj valuti).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Jezik komunikacije: engleski, srpski, nemački...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Raspored treninga tj. dostupnost igrača (popodne, vikendi).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analizira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Igračeve rezultate ulaznog testa (npr. slabosti u nišanjenju ili refleksima).</w:t>
      </w:r>
    </w:p>
    <w:p>
      <w:pPr>
        <w:pStyle w:val="TextBody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Statistiku mečeva (prosečan K/D ratio, tačnost pucanja, pobede na određenim mapama).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upoređuje igračev profil sa profilima trenera u bazi podataka, uzimajući u obzir: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Trenerove specijalizacije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Cenu po satu trenera.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Jezike koje trener govori.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Raspored i dostupnost trenera.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generiše listu od najviše 3-5 trenera rangiranih po kompatibilnosti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bira trenera klikom na dugme „Kontaktiraj trenera“ i započinje komunikaciju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beleži izbor trenera u bazi podataka i šalje notifikaciju treneru o novom zahtevu.</w:t>
      </w:r>
    </w:p>
    <w:p>
      <w:pPr>
        <w:pStyle w:val="Normal"/>
        <w:numPr>
          <w:ilvl w:val="0"/>
          <w:numId w:val="2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Nema trenera koji odgovaraju preferencijama igrača</w:t>
      </w:r>
    </w:p>
    <w:p>
      <w:pPr>
        <w:pStyle w:val="Normal"/>
        <w:numPr>
          <w:ilvl w:val="1"/>
          <w:numId w:val="2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 xml:space="preserve">Akcije 1–4 iste kao u scenariju </w:t>
      </w:r>
      <w:r>
        <w:rPr>
          <w:rStyle w:val="Heading2Char"/>
          <w:rFonts w:ascii="Calibri" w:hAnsi="Calibri"/>
          <w:color w:val="000000"/>
          <w:sz w:val="26"/>
          <w:szCs w:val="26"/>
        </w:rPr>
        <w:t>2</w:t>
      </w:r>
      <w:r>
        <w:rPr>
          <w:rStyle w:val="Heading2Char"/>
          <w:rFonts w:ascii="Calibri" w:hAnsi="Calibri"/>
          <w:color w:val="000000"/>
          <w:sz w:val="26"/>
          <w:szCs w:val="26"/>
        </w:rPr>
        <w:t>.2.1.</w:t>
      </w:r>
    </w:p>
    <w:p>
      <w:pPr>
        <w:pStyle w:val="Normal"/>
        <w:numPr>
          <w:ilvl w:val="1"/>
          <w:numId w:val="2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 xml:space="preserve">Sistem ne pronalazi trenere koji ispunjavaju igračeve kriterijume </w:t>
      </w:r>
    </w:p>
    <w:p>
      <w:pPr>
        <w:pStyle w:val="Normal"/>
        <w:numPr>
          <w:ilvl w:val="1"/>
          <w:numId w:val="2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Prikazuje se poruka: „Trenutno nema trenera koji ispunjavaju vaše kriterijume”.</w:t>
      </w:r>
    </w:p>
    <w:p>
      <w:pPr>
        <w:pStyle w:val="Normal"/>
        <w:numPr>
          <w:ilvl w:val="1"/>
          <w:numId w:val="2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Igraču se nude alternativne opcije, poput biranje ručno trenera ili korišćenja sistema za samostalni trening.</w:t>
        <w:tab/>
      </w:r>
    </w:p>
    <w:p>
      <w:pPr>
        <w:pStyle w:val="Normal"/>
        <w:numPr>
          <w:ilvl w:val="0"/>
          <w:numId w:val="3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odustane od preporuke trenera</w:t>
      </w:r>
    </w:p>
    <w:p>
      <w:pPr>
        <w:pStyle w:val="Normal"/>
        <w:numPr>
          <w:ilvl w:val="1"/>
          <w:numId w:val="3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 xml:space="preserve">Akcije 1–3 iste kao u scenariju </w:t>
      </w:r>
      <w:r>
        <w:rPr>
          <w:rStyle w:val="Heading2Char"/>
          <w:rFonts w:ascii="Calibri" w:hAnsi="Calibri"/>
          <w:color w:val="000000"/>
          <w:sz w:val="26"/>
          <w:szCs w:val="26"/>
        </w:rPr>
        <w:t>2</w:t>
      </w:r>
      <w:r>
        <w:rPr>
          <w:rStyle w:val="Heading2Char"/>
          <w:rFonts w:ascii="Calibri" w:hAnsi="Calibri"/>
          <w:color w:val="000000"/>
          <w:sz w:val="26"/>
          <w:szCs w:val="26"/>
        </w:rPr>
        <w:t>.2.1.</w:t>
      </w:r>
    </w:p>
    <w:p>
      <w:pPr>
        <w:pStyle w:val="Normal"/>
        <w:numPr>
          <w:ilvl w:val="1"/>
          <w:numId w:val="3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klikne na dugme „Odustani“ tokom unosa preferenci ili pregleda liste trenera.</w:t>
      </w:r>
    </w:p>
    <w:p>
      <w:pPr>
        <w:pStyle w:val="Normal"/>
        <w:numPr>
          <w:ilvl w:val="1"/>
          <w:numId w:val="3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se preusmerava na početnu stranicu ili odeljak za samostalni trening.</w:t>
        <w:tab/>
        <w:tab/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Posebni zahtevi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mora koristiti algoritam za rangiranje trenera.</w:t>
      </w:r>
    </w:p>
    <w:p>
      <w:pPr>
        <w:pStyle w:val="Normal"/>
        <w:numPr>
          <w:ilvl w:val="4"/>
          <w:numId w:val="1"/>
        </w:numPr>
        <w:rPr>
          <w:rStyle w:val="Heading2Char"/>
          <w:rFonts w:ascii="Calibri" w:hAnsi="Calibri"/>
          <w:color w:val="000000"/>
          <w:sz w:val="26"/>
          <w:szCs w:val="26"/>
        </w:rPr>
      </w:pPr>
      <w:r>
        <w:rPr>
          <w:rStyle w:val="Heading2Char"/>
          <w:rFonts w:ascii="Calibri" w:hAnsi="Calibri"/>
          <w:color w:val="000000"/>
          <w:sz w:val="26"/>
          <w:szCs w:val="26"/>
        </w:rPr>
        <w:t>Sistem mora omogućiti administratoru da pregleda i ažurira profile trenera.</w:t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Preduslovi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mora biti registrovan i prijavljen na platformu „CS2 Trainer“.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mora imati završen ulazni test ili unetu statistiku mečeva u bazi podataka.</w:t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Posledice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Igračev profil se ažurira sa informacijama o izabranom treneru, ako je primenljivo.</w:t>
      </w:r>
    </w:p>
    <w:sectPr>
      <w:type w:val="continuous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decimal"/>
      <w:lvlText w:val="%8."/>
      <w:lvlJc w:val="left"/>
      <w:pPr>
        <w:tabs>
          <w:tab w:val="num" w:pos="4680"/>
        </w:tabs>
        <w:ind w:left="4680" w:hanging="360"/>
      </w:pPr>
    </w:lvl>
    <w:lvl w:ilvl="8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decimal"/>
      <w:lvlText w:val="%8."/>
      <w:lvlJc w:val="left"/>
      <w:pPr>
        <w:tabs>
          <w:tab w:val="num" w:pos="4680"/>
        </w:tabs>
        <w:ind w:left="4680" w:hanging="360"/>
      </w:pPr>
    </w:lvl>
    <w:lvl w:ilvl="8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80"/>
      <w:outlineLvl w:val="0"/>
    </w:pPr>
    <w:rPr>
      <w:rFonts w:eastAsia="" w:cs="" w:asciiTheme="majorAscii" w:cstheme="majorBidi" w:eastAsiaTheme="majorEastAsia" w:hAnsiTheme="majorAscii"/>
      <w:color w:val="0F4761" w:themeColor="accent1" w:themeShade="bf" w:themeTint="ff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160" w:after="80"/>
      <w:outlineLvl w:val="1"/>
    </w:pPr>
    <w:rPr>
      <w:rFonts w:eastAsia="" w:cs="" w:asciiTheme="majorAscii" w:cstheme="majorBidi" w:eastAsiaTheme="majorEastAsia" w:hAnsiTheme="majorAscii"/>
      <w:color w:val="0F4761" w:themeColor="accent1" w:themeShade="bf" w:themeTint="ff"/>
      <w:sz w:val="32"/>
      <w:szCs w:val="32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basedOn w:val="DefaultParagraphFont"/>
    <w:qFormat/>
    <w:rPr>
      <w:rFonts w:ascii="Calibri" w:hAnsi="Calibri" w:eastAsia="ＭＳ ゴシック" w:cs="FreeSans"/>
      <w:color w:val="365F91"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ntents1">
    <w:name w:val="TOC 1"/>
    <w:basedOn w:val="Normal"/>
    <w:next w:val="Normal"/>
    <w:pPr>
      <w:spacing w:before="0" w:after="100"/>
    </w:pPr>
    <w:rPr/>
  </w:style>
  <w:style w:type="paragraph" w:styleId="Contents2">
    <w:name w:val="TOC 2"/>
    <w:basedOn w:val="Normal"/>
    <w:next w:val="Normal"/>
    <w:pPr>
      <w:spacing w:before="0" w:after="100"/>
      <w:ind w:left="220" w:hanging="0"/>
    </w:pPr>
    <w:rPr/>
  </w:style>
  <w:style w:type="paragraph" w:styleId="ContentsHeading">
    <w:name w:val="TOA Heading"/>
    <w:basedOn w:val="Heading"/>
    <w:pPr>
      <w:suppressLineNumbers/>
      <w:ind w:left="0" w:hanging="0"/>
    </w:pPr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LibreOffice/6.1.5.2$Linux_ARM_EABI LibreOffice_project/10$Build-2</Application>
  <Pages>5</Pages>
  <Words>539</Words>
  <Characters>3263</Characters>
  <CharactersWithSpaces>3691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2025-08-13T01:38:18Z</dcterms:created>
  <dc:creator/>
  <dc:description/>
  <dc:language>en-US</dc:language>
  <cp:lastModifiedBy/>
  <dcterms:modified xsi:type="dcterms:W3CDTF">2025-08-13T19:23:49Z</dcterms:modified>
  <cp:revision>6</cp:revision>
  <dc:subject/>
  <dc:title/>
</cp:coreProperties>
</file>