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29409" w14:textId="77777777" w:rsidR="00D060FB" w:rsidRDefault="00D060FB" w:rsidP="00D060FB">
      <w:pPr>
        <w:rPr>
          <w:rFonts w:ascii="Times New Roman" w:eastAsiaTheme="majorEastAsia" w:hAnsi="Times New Roman" w:cs="Times New Roman"/>
          <w:b/>
          <w:bCs/>
          <w:kern w:val="0"/>
          <w14:ligatures w14:val="none"/>
        </w:rPr>
      </w:pPr>
      <w:r w:rsidRPr="00D060FB">
        <w:rPr>
          <w:rFonts w:ascii="Times New Roman" w:eastAsiaTheme="majorEastAsia" w:hAnsi="Times New Roman" w:cs="Times New Roman"/>
          <w:b/>
          <w:bCs/>
          <w:kern w:val="0"/>
          <w14:ligatures w14:val="none"/>
        </w:rPr>
        <w:t>Toolkit for Fire Department-Based Co-Response Overdose (OD) Response Programs</w:t>
      </w:r>
    </w:p>
    <w:p w14:paraId="385E11FB" w14:textId="77777777" w:rsidR="00D060FB" w:rsidRPr="00D060FB" w:rsidRDefault="00D060FB" w:rsidP="00D060FB">
      <w:pPr>
        <w:rPr>
          <w:rFonts w:ascii="Times New Roman" w:eastAsiaTheme="majorEastAsia" w:hAnsi="Times New Roman" w:cs="Times New Roman"/>
          <w:b/>
          <w:bCs/>
          <w:kern w:val="0"/>
          <w14:ligatures w14:val="none"/>
        </w:rPr>
      </w:pPr>
    </w:p>
    <w:p w14:paraId="72461467" w14:textId="77777777" w:rsidR="00D060FB" w:rsidRPr="00D060FB" w:rsidRDefault="00D060FB" w:rsidP="00D060FB">
      <w:pPr>
        <w:rPr>
          <w:rFonts w:ascii="Times New Roman" w:eastAsiaTheme="majorEastAsia" w:hAnsi="Times New Roman" w:cs="Times New Roman"/>
          <w:b/>
          <w:bCs/>
          <w:kern w:val="0"/>
          <w14:ligatures w14:val="none"/>
        </w:rPr>
      </w:pPr>
      <w:r w:rsidRPr="00D060FB">
        <w:rPr>
          <w:rFonts w:ascii="Times New Roman" w:eastAsiaTheme="majorEastAsia" w:hAnsi="Times New Roman" w:cs="Times New Roman"/>
          <w:b/>
          <w:bCs/>
          <w:kern w:val="0"/>
          <w14:ligatures w14:val="none"/>
        </w:rPr>
        <w:t>Introduction</w:t>
      </w:r>
    </w:p>
    <w:p w14:paraId="0589AC48" w14:textId="77777777" w:rsidR="00D060FB" w:rsidRDefault="00D060FB" w:rsidP="00D060FB">
      <w:p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Fire departments across the country are increasingly engaging in Mobile Integrated Health (MIH) and co-response programs to address the opioid crisis. This toolkit is designed to share key lessons, strategies, and best practices from departments that have developed overdose response programs. By leveraging fire-based resources, these programs enhance public health efforts and improve outcomes for individuals experiencing substance use-related emergencies.</w:t>
      </w:r>
    </w:p>
    <w:p w14:paraId="5BF41D2E" w14:textId="77777777" w:rsidR="00D060FB" w:rsidRPr="00D060FB" w:rsidRDefault="00D060FB" w:rsidP="00D060FB">
      <w:pPr>
        <w:rPr>
          <w:rFonts w:ascii="Times New Roman" w:eastAsiaTheme="majorEastAsia" w:hAnsi="Times New Roman" w:cs="Times New Roman"/>
          <w:kern w:val="0"/>
          <w14:ligatures w14:val="none"/>
        </w:rPr>
      </w:pPr>
    </w:p>
    <w:p w14:paraId="0DA2F930" w14:textId="77777777" w:rsidR="00D060FB" w:rsidRPr="00D060FB" w:rsidRDefault="00D060FB" w:rsidP="00D060FB">
      <w:p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Key Components of a Fire Department-Based OD Response Program</w:t>
      </w:r>
    </w:p>
    <w:p w14:paraId="403E4E4D" w14:textId="77777777" w:rsidR="00D060FB" w:rsidRPr="00D060FB" w:rsidRDefault="00D060FB" w:rsidP="00D060FB">
      <w:pPr>
        <w:numPr>
          <w:ilvl w:val="0"/>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Program Structure &amp; Partnerships</w:t>
      </w:r>
    </w:p>
    <w:p w14:paraId="314EABBA"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Identify key stakeholders, including EMS, public health agencies, harm reduction organizations, and law enforcement.</w:t>
      </w:r>
    </w:p>
    <w:p w14:paraId="321ECA8C"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Establish partnerships with treatment providers, social services, and community outreach programs.</w:t>
      </w:r>
    </w:p>
    <w:p w14:paraId="624D3DBD"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Define roles and responsibilities within the fire department for effective collaboration.</w:t>
      </w:r>
    </w:p>
    <w:p w14:paraId="4846768B"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Develop formal agreements (MOUs) with partnering organizations to clarify expectations and resource-sharing.</w:t>
      </w:r>
    </w:p>
    <w:p w14:paraId="523E8823"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Hold regular coordination meetings to assess program performance and identify improvement opportunities.</w:t>
      </w:r>
    </w:p>
    <w:p w14:paraId="43F99828" w14:textId="77777777" w:rsidR="00D060FB" w:rsidRPr="00D060FB" w:rsidRDefault="00D060FB" w:rsidP="00D060FB">
      <w:pPr>
        <w:numPr>
          <w:ilvl w:val="0"/>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Training &amp; Capacity Building</w:t>
      </w:r>
    </w:p>
    <w:p w14:paraId="594F1085"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Implement comprehensive training on opioid overdose recognition, naloxone administration, and harm reduction strategies.</w:t>
      </w:r>
    </w:p>
    <w:p w14:paraId="49399DED"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Provide cultural competency and trauma-informed care education for first responders.</w:t>
      </w:r>
    </w:p>
    <w:p w14:paraId="426C5E3F"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Offer continuing education and debriefing sessions to maintain responder well-being and program effectiveness.</w:t>
      </w:r>
    </w:p>
    <w:p w14:paraId="526865DC"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Conduct scenario-based training exercises to enhance real-world preparedness.</w:t>
      </w:r>
    </w:p>
    <w:p w14:paraId="0A1893FF"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Collaborate with harm reduction organizations to bring in trainers with lived experience for authentic perspectives.</w:t>
      </w:r>
    </w:p>
    <w:p w14:paraId="6BF266C4" w14:textId="77777777" w:rsidR="00D060FB" w:rsidRPr="00D060FB" w:rsidRDefault="00D060FB" w:rsidP="00D060FB">
      <w:pPr>
        <w:numPr>
          <w:ilvl w:val="0"/>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lastRenderedPageBreak/>
        <w:t>Response Strategies</w:t>
      </w:r>
    </w:p>
    <w:p w14:paraId="4D5D51D5"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Develop protocols for dispatching co-response teams, including firefighter/EMS personnel and embedded social workers or peer support specialists.</w:t>
      </w:r>
    </w:p>
    <w:p w14:paraId="10193020"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Ensure universal access to "leave-behind" naloxone for all first responders and integrate it into routine overdose response procedures. </w:t>
      </w:r>
    </w:p>
    <w:p w14:paraId="3157E3A3"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Establish post-overdose follow-up procedures, including warm hand-offs to treatment and support services.</w:t>
      </w:r>
    </w:p>
    <w:p w14:paraId="13C4BDE8"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Create non-punitive referral pathways that encourage individuals to seek help without fear of legal consequences.</w:t>
      </w:r>
    </w:p>
    <w:p w14:paraId="7DB63103"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Utilize real-time mapping technology to identify overdose hotspots and deploy resources effectively.</w:t>
      </w:r>
    </w:p>
    <w:p w14:paraId="51834815" w14:textId="77777777" w:rsidR="00D060FB" w:rsidRPr="00D060FB" w:rsidRDefault="00D060FB" w:rsidP="00D060FB">
      <w:pPr>
        <w:numPr>
          <w:ilvl w:val="0"/>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Data Collection &amp; Evaluation</w:t>
      </w:r>
    </w:p>
    <w:p w14:paraId="3471418B"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Implement data tracking for overdoses, naloxone administration, pre-hospital medications for OUD, and patient outcomes.</w:t>
      </w:r>
    </w:p>
    <w:p w14:paraId="77EC4B42"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Use data to identify high-risk areas, trends, and program effectiveness.</w:t>
      </w:r>
    </w:p>
    <w:p w14:paraId="3F10140B"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Collaborate with public health agencies to ensure alignment with broader community health efforts.</w:t>
      </w:r>
    </w:p>
    <w:p w14:paraId="66DDC794"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Develop metric dashboards to visualize data and inform decision-making.</w:t>
      </w:r>
    </w:p>
    <w:p w14:paraId="653E73F2"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Conduct periodic program evaluations to assess impact and identify necessary adjustments.</w:t>
      </w:r>
    </w:p>
    <w:p w14:paraId="27F2FC6F" w14:textId="77777777" w:rsidR="00D060FB" w:rsidRPr="00D060FB" w:rsidRDefault="00D060FB" w:rsidP="00D060FB">
      <w:pPr>
        <w:numPr>
          <w:ilvl w:val="0"/>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Sustainable Funding &amp; Billing Strategies</w:t>
      </w:r>
    </w:p>
    <w:p w14:paraId="2FCAE8EB"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Explore funding mechanisms, including grants, Medicaid reimbursement, and partnerships with hospitals and insurers.</w:t>
      </w:r>
    </w:p>
    <w:p w14:paraId="16565ADD"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Develop billing strategies that align with MIH and community paramedicine reimbursement models.</w:t>
      </w:r>
    </w:p>
    <w:p w14:paraId="09E87B73"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Advocate for policy changes that support sustainable funding for fire-based co-response / overdose response efforts.</w:t>
      </w:r>
    </w:p>
    <w:p w14:paraId="36D48FDE"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Seek philanthropic and corporate sponsorships to fill funding gaps.</w:t>
      </w:r>
    </w:p>
    <w:p w14:paraId="13A00E1E" w14:textId="77777777" w:rsid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Document cost savings and patient outcome improvements to justify continued investment.</w:t>
      </w:r>
    </w:p>
    <w:p w14:paraId="70C9248B" w14:textId="77777777" w:rsidR="00D060FB" w:rsidRPr="00D060FB" w:rsidRDefault="00D060FB" w:rsidP="00D060FB">
      <w:pPr>
        <w:ind w:left="1440"/>
        <w:rPr>
          <w:rFonts w:ascii="Times New Roman" w:eastAsiaTheme="majorEastAsia" w:hAnsi="Times New Roman" w:cs="Times New Roman"/>
          <w:kern w:val="0"/>
          <w14:ligatures w14:val="none"/>
        </w:rPr>
      </w:pPr>
    </w:p>
    <w:p w14:paraId="7E4A5FE6" w14:textId="77777777" w:rsidR="00D060FB" w:rsidRPr="00D060FB" w:rsidRDefault="00D060FB" w:rsidP="00D060FB">
      <w:pPr>
        <w:numPr>
          <w:ilvl w:val="0"/>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lastRenderedPageBreak/>
        <w:t>Community Engagement &amp; Public Awareness</w:t>
      </w:r>
    </w:p>
    <w:p w14:paraId="064DF3F1"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Conduct outreach and education initiatives to inform the public about overdose prevention and available resources.</w:t>
      </w:r>
    </w:p>
    <w:p w14:paraId="779421EA"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Collaborate with local organizations to host naloxone distribution and training events.</w:t>
      </w:r>
    </w:p>
    <w:p w14:paraId="08E60526" w14:textId="77777777" w:rsidR="00D060FB" w:rsidRP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Engage individuals with lived experience in program development and peer support efforts.</w:t>
      </w:r>
    </w:p>
    <w:p w14:paraId="7B602F16" w14:textId="77777777" w:rsidR="00D060FB" w:rsidRDefault="00D060FB" w:rsidP="00D060FB">
      <w:pPr>
        <w:numPr>
          <w:ilvl w:val="1"/>
          <w:numId w:val="3"/>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Use social media and public service campaigns to reduce stigma and encourage help-seeking behavior.</w:t>
      </w:r>
    </w:p>
    <w:p w14:paraId="6509312B" w14:textId="77777777" w:rsidR="00D060FB" w:rsidRPr="00D060FB" w:rsidRDefault="00D060FB" w:rsidP="00D060FB">
      <w:pPr>
        <w:ind w:left="1440"/>
        <w:rPr>
          <w:rFonts w:ascii="Times New Roman" w:eastAsiaTheme="majorEastAsia" w:hAnsi="Times New Roman" w:cs="Times New Roman"/>
          <w:kern w:val="0"/>
          <w14:ligatures w14:val="none"/>
        </w:rPr>
      </w:pPr>
    </w:p>
    <w:p w14:paraId="33FB463F" w14:textId="77777777" w:rsidR="00D060FB" w:rsidRPr="00D060FB" w:rsidRDefault="00D060FB" w:rsidP="00D060FB">
      <w:p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Lessons Learned &amp; Best Practices</w:t>
      </w:r>
    </w:p>
    <w:p w14:paraId="49C29E0D" w14:textId="77777777" w:rsidR="00D060FB" w:rsidRPr="00D060FB" w:rsidRDefault="00D060FB" w:rsidP="00D060FB">
      <w:pPr>
        <w:numPr>
          <w:ilvl w:val="0"/>
          <w:numId w:val="4"/>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Strong partnerships with public health and harm reduction organizations are crucial for success.</w:t>
      </w:r>
    </w:p>
    <w:p w14:paraId="4A363748" w14:textId="77777777" w:rsidR="00D060FB" w:rsidRPr="00D060FB" w:rsidRDefault="00D060FB" w:rsidP="00D060FB">
      <w:pPr>
        <w:numPr>
          <w:ilvl w:val="0"/>
          <w:numId w:val="4"/>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A multidisciplinary approach, integrating medical and social services, enhances program impact.</w:t>
      </w:r>
    </w:p>
    <w:p w14:paraId="1CF3A7D7" w14:textId="77777777" w:rsidR="00D060FB" w:rsidRPr="00D060FB" w:rsidRDefault="00D060FB" w:rsidP="00D060FB">
      <w:pPr>
        <w:numPr>
          <w:ilvl w:val="0"/>
          <w:numId w:val="4"/>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Regular training and responder support are necessary to sustain engagement and effectiveness.</w:t>
      </w:r>
    </w:p>
    <w:p w14:paraId="4A7A9F0C" w14:textId="77777777" w:rsidR="00D060FB" w:rsidRPr="00D060FB" w:rsidRDefault="00D060FB" w:rsidP="00D060FB">
      <w:pPr>
        <w:numPr>
          <w:ilvl w:val="0"/>
          <w:numId w:val="4"/>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Sustainable funding strategies must be incorporated from the outset to ensure program longevity.</w:t>
      </w:r>
    </w:p>
    <w:p w14:paraId="5D34752F" w14:textId="77777777" w:rsidR="00D060FB" w:rsidRDefault="00D060FB" w:rsidP="00D060FB">
      <w:pPr>
        <w:numPr>
          <w:ilvl w:val="0"/>
          <w:numId w:val="4"/>
        </w:num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Flexibility and adaptability are key in responding to emerging trends and challenges in substance use crises.</w:t>
      </w:r>
    </w:p>
    <w:p w14:paraId="7F6441F6" w14:textId="77777777" w:rsidR="00D060FB" w:rsidRPr="00D060FB" w:rsidRDefault="00D060FB" w:rsidP="00D060FB">
      <w:pPr>
        <w:ind w:left="720"/>
        <w:rPr>
          <w:rFonts w:ascii="Times New Roman" w:eastAsiaTheme="majorEastAsia" w:hAnsi="Times New Roman" w:cs="Times New Roman"/>
          <w:kern w:val="0"/>
          <w14:ligatures w14:val="none"/>
        </w:rPr>
      </w:pPr>
    </w:p>
    <w:p w14:paraId="40808682" w14:textId="77777777" w:rsidR="00D060FB" w:rsidRPr="00D060FB" w:rsidRDefault="00D060FB" w:rsidP="00D060FB">
      <w:p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Conclusion</w:t>
      </w:r>
    </w:p>
    <w:p w14:paraId="1DB4FB6D" w14:textId="77777777" w:rsidR="00D060FB" w:rsidRPr="00D060FB" w:rsidRDefault="00D060FB" w:rsidP="00D060FB">
      <w:pPr>
        <w:rPr>
          <w:rFonts w:ascii="Times New Roman" w:eastAsiaTheme="majorEastAsia" w:hAnsi="Times New Roman" w:cs="Times New Roman"/>
          <w:kern w:val="0"/>
          <w14:ligatures w14:val="none"/>
        </w:rPr>
      </w:pPr>
      <w:r w:rsidRPr="00D060FB">
        <w:rPr>
          <w:rFonts w:ascii="Times New Roman" w:eastAsiaTheme="majorEastAsia" w:hAnsi="Times New Roman" w:cs="Times New Roman"/>
          <w:kern w:val="0"/>
          <w14:ligatures w14:val="none"/>
        </w:rPr>
        <w:t>Fire department-based OD response programs are a critical component of community-based efforts to address the opioid crisis. By sharing these insights and strategies, we hope to support other departments in developing effective and sustainable programs that save lives and improve long-term outcomes.</w:t>
      </w:r>
    </w:p>
    <w:p w14:paraId="65377B14" w14:textId="77777777" w:rsidR="00A14AED" w:rsidRPr="00D060FB" w:rsidRDefault="00A14AED" w:rsidP="00D060FB"/>
    <w:sectPr w:rsidR="00A14AED" w:rsidRPr="00D06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59D3"/>
    <w:multiLevelType w:val="multilevel"/>
    <w:tmpl w:val="7C7E8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843E97"/>
    <w:multiLevelType w:val="multilevel"/>
    <w:tmpl w:val="DE144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474C43"/>
    <w:multiLevelType w:val="multilevel"/>
    <w:tmpl w:val="B8B2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E83BC5"/>
    <w:multiLevelType w:val="multilevel"/>
    <w:tmpl w:val="75FA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349256">
    <w:abstractNumId w:val="0"/>
  </w:num>
  <w:num w:numId="2" w16cid:durableId="1882863187">
    <w:abstractNumId w:val="3"/>
  </w:num>
  <w:num w:numId="3" w16cid:durableId="1643998413">
    <w:abstractNumId w:val="1"/>
  </w:num>
  <w:num w:numId="4" w16cid:durableId="978875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A85"/>
    <w:rsid w:val="00037A93"/>
    <w:rsid w:val="00385106"/>
    <w:rsid w:val="009E19FA"/>
    <w:rsid w:val="00A14AED"/>
    <w:rsid w:val="00A17A85"/>
    <w:rsid w:val="00D06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F9705"/>
  <w15:chartTrackingRefBased/>
  <w15:docId w15:val="{1866C66B-DA79-4943-999A-7A285EB80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A85"/>
    <w:rPr>
      <w:rFonts w:eastAsiaTheme="majorEastAsia" w:cstheme="majorBidi"/>
      <w:color w:val="272727" w:themeColor="text1" w:themeTint="D8"/>
    </w:rPr>
  </w:style>
  <w:style w:type="paragraph" w:styleId="Title">
    <w:name w:val="Title"/>
    <w:basedOn w:val="Normal"/>
    <w:next w:val="Normal"/>
    <w:link w:val="TitleChar"/>
    <w:uiPriority w:val="10"/>
    <w:qFormat/>
    <w:rsid w:val="00A17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A85"/>
    <w:pPr>
      <w:spacing w:before="160"/>
      <w:jc w:val="center"/>
    </w:pPr>
    <w:rPr>
      <w:i/>
      <w:iCs/>
      <w:color w:val="404040" w:themeColor="text1" w:themeTint="BF"/>
    </w:rPr>
  </w:style>
  <w:style w:type="character" w:customStyle="1" w:styleId="QuoteChar">
    <w:name w:val="Quote Char"/>
    <w:basedOn w:val="DefaultParagraphFont"/>
    <w:link w:val="Quote"/>
    <w:uiPriority w:val="29"/>
    <w:rsid w:val="00A17A85"/>
    <w:rPr>
      <w:i/>
      <w:iCs/>
      <w:color w:val="404040" w:themeColor="text1" w:themeTint="BF"/>
    </w:rPr>
  </w:style>
  <w:style w:type="paragraph" w:styleId="ListParagraph">
    <w:name w:val="List Paragraph"/>
    <w:basedOn w:val="Normal"/>
    <w:uiPriority w:val="34"/>
    <w:qFormat/>
    <w:rsid w:val="00A17A85"/>
    <w:pPr>
      <w:ind w:left="720"/>
      <w:contextualSpacing/>
    </w:pPr>
  </w:style>
  <w:style w:type="character" w:styleId="IntenseEmphasis">
    <w:name w:val="Intense Emphasis"/>
    <w:basedOn w:val="DefaultParagraphFont"/>
    <w:uiPriority w:val="21"/>
    <w:qFormat/>
    <w:rsid w:val="00A17A85"/>
    <w:rPr>
      <w:i/>
      <w:iCs/>
      <w:color w:val="0F4761" w:themeColor="accent1" w:themeShade="BF"/>
    </w:rPr>
  </w:style>
  <w:style w:type="paragraph" w:styleId="IntenseQuote">
    <w:name w:val="Intense Quote"/>
    <w:basedOn w:val="Normal"/>
    <w:next w:val="Normal"/>
    <w:link w:val="IntenseQuoteChar"/>
    <w:uiPriority w:val="30"/>
    <w:qFormat/>
    <w:rsid w:val="00A17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A85"/>
    <w:rPr>
      <w:i/>
      <w:iCs/>
      <w:color w:val="0F4761" w:themeColor="accent1" w:themeShade="BF"/>
    </w:rPr>
  </w:style>
  <w:style w:type="character" w:styleId="IntenseReference">
    <w:name w:val="Intense Reference"/>
    <w:basedOn w:val="DefaultParagraphFont"/>
    <w:uiPriority w:val="32"/>
    <w:qFormat/>
    <w:rsid w:val="00A17A85"/>
    <w:rPr>
      <w:b/>
      <w:bCs/>
      <w:smallCaps/>
      <w:color w:val="0F4761" w:themeColor="accent1" w:themeShade="BF"/>
      <w:spacing w:val="5"/>
    </w:rPr>
  </w:style>
  <w:style w:type="paragraph" w:styleId="NormalWeb">
    <w:name w:val="Normal (Web)"/>
    <w:basedOn w:val="Normal"/>
    <w:uiPriority w:val="99"/>
    <w:semiHidden/>
    <w:unhideWhenUsed/>
    <w:rsid w:val="00A17A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7A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514277">
      <w:bodyDiv w:val="1"/>
      <w:marLeft w:val="0"/>
      <w:marRight w:val="0"/>
      <w:marTop w:val="0"/>
      <w:marBottom w:val="0"/>
      <w:divBdr>
        <w:top w:val="none" w:sz="0" w:space="0" w:color="auto"/>
        <w:left w:val="none" w:sz="0" w:space="0" w:color="auto"/>
        <w:bottom w:val="none" w:sz="0" w:space="0" w:color="auto"/>
        <w:right w:val="none" w:sz="0" w:space="0" w:color="auto"/>
      </w:divBdr>
    </w:div>
    <w:div w:id="191099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Gerdes</dc:creator>
  <cp:keywords/>
  <dc:description/>
  <cp:lastModifiedBy>Brian Gerdes</cp:lastModifiedBy>
  <cp:revision>1</cp:revision>
  <dcterms:created xsi:type="dcterms:W3CDTF">2025-02-16T00:53:00Z</dcterms:created>
  <dcterms:modified xsi:type="dcterms:W3CDTF">2025-02-16T01:13:00Z</dcterms:modified>
</cp:coreProperties>
</file>