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Proprietary Premium Is Eroding — What That Means for AI Buyers and Builders</w:t>
      </w:r>
    </w:p>
    <w:p>
      <w:pPr>
        <w:spacing w:after="120"/>
      </w:pPr>
      <w:r>
        <w:t xml:space="preserve">The single most commercially consequential development in the 2026 LLM landscape is that open-weight models have reached parity with proprietary ones. alibaba qwen Qwen 3.5 Max — freely downloadable and self-hostable — benchmarks at or above anthropic Claude 4.6 Opus and xai Grok 4 on the metrics reported in best llms 2026 zapier. deepseek V3.2 achieved frontier performance at a fraction of the compute cost of comparable Western models, directly challenging the assumption that cutting-edge AI requires nine-figure training budgets. For any enterprise currently paying per-token API fees to a proprietary provider, this is the moment to re-evaluate whether that premium is buying capability or just convenience.</w:t>
      </w:r>
    </w:p>
    <w:p>
      <w:pPr>
        <w:spacing w:after="120"/>
      </w:pPr>
      <w:r>
        <w:t xml:space="preserve">The underlying reason open models can now compete is architectural, not a matter of brute-force scale. mixture of experts (MoE) — a design in which a massive model activates only a small subset of its parameters for each individual query — is now the dominant approach across virtually every large open-weight release: meta ai Llama 4 (2 trillion total parameters), deepseek V3.2 (671 billion), mistral ai Mistral 3 (675 billion total, 41 billion active), and alibaba qwen Qwen 3.5 Max (235 billion). The practical upshot is that inference costs are far lower than raw parameter counts suggest, which means self-hosting a frontier-class model is now within reach for organisations with modest GPU infrastructure. The era of "bigger model = higher bill" is over.</w:t>
      </w:r>
    </w:p>
    <w:p>
      <w:pPr>
        <w:spacing w:after="120"/>
      </w:pPr>
      <w:r>
        <w:t xml:space="preserve">The llm landscape 2026 also reveals a geopolitical fault line with direct commercial implications. Western labs — openai, anthropic, google deepmind, xai — are overwhelmingly proprietary and gate their best models behind API subscriptions or enterprise contracts. Chinese labs — deepseek, alibaba qwen, and a cluster of players including Moonshot AI, MiniMax, and Xiaomi — have deliberately chosen open-weight distribution, widely read as both a competitive tactic and a way to sidestep Western access controls. Organisations with data-residency requirements or operating in regulated industries should note that open-weight models allow fully on-premises deployment; proprietary API models do not.</w:t>
      </w:r>
    </w:p>
    <w:p>
      <w:pPr>
        <w:spacing w:after="120"/>
      </w:pPr>
      <w:r>
        <w:t xml:space="preserve">On the proprietary side, differentiation is increasingly shifting from raw capability to ecosystem integration and reliability guarantees. anthropic Claude 4.7 is the clearest example: Slack, Notion, and Zoom have embedded it in their products, signalling production-grade uptime and support commitments that most open-weight models cannot yet match. openai GPT-5.4 consolidates GPT-4o, o3, and Codex into a single model, reducing procurement complexity for shops managing multiple API endpoints. google deepmind Gemini 3.1's one-million-token context window and xai Grok 4's two-million-token window (context window = the amount of text a model can read and reason over in a single call) are real differentiators for document-heavy workflows — though whether those extreme context lengths translate to reliable retrieval in practice remains an open question. Meanwhile, reasoning models — models that spend extra compute at inference time working through problems step-by-step before answering — are now standard across both tiers, having ceased to be a premium differentiator.</w:t>
      </w:r>
    </w:p>
    <w:p>
      <w:pPr>
        <w:spacing w:after="120"/>
      </w:pPr>
      <w:r>
        <w:t xml:space="preserve">The critical caveat for any purchasing or build-vs-buy decision is that the benchmark data underpinning these comparisons comes from a single source — best llms 2026 zapier — whose evaluation methodology is qualitative and not independently peer-reviewed. The claim that Qwen 3.5 Max "matches or exceeds" Claude 4.6 Opus deserves scrutiny before it drives a contract renegotiation. The most useful next step is to run a task-specific internal evaluation: identify the two or three workflows consuming the most LLM spend today, test the top open-weight candidates (Qwen 3.5 Max and DeepSeek V3.2) against them side-by-side with your current proprietary provider, and price the infrastructure cost of self-hosting against your current API bill. That comparison, not headline benchmarks, is the decision-relevant number.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 — summary</dc:title>
  <dc:creator>Un-named</dc:creator>
  <cp:lastModifiedBy>Un-named</cp:lastModifiedBy>
  <cp:revision>1</cp:revision>
  <dcterms:created xsi:type="dcterms:W3CDTF">2026-04-19T18:04:59.833Z</dcterms:created>
  <dcterms:modified xsi:type="dcterms:W3CDTF">2026-04-19T18:04:59.833Z</dcterms:modified>
</cp:coreProperties>
</file>

<file path=docProps/custom.xml><?xml version="1.0" encoding="utf-8"?>
<Properties xmlns="http://schemas.openxmlformats.org/officeDocument/2006/custom-properties" xmlns:vt="http://schemas.openxmlformats.org/officeDocument/2006/docPropsVTypes"/>
</file>