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Malgun Gothic"/>
          <w:b/>
          <w:color w:val="17365D"/>
          <w:sz w:val="35"/>
        </w:rPr>
        <w:t>동적 악성코드 시각화 아이디어의 정적 MaleVis 전이</w:t>
      </w:r>
    </w:p>
    <w:p>
      <w:pPr>
        <w:spacing w:after="80"/>
        <w:jc w:val="center"/>
      </w:pPr>
      <w:r>
        <w:rPr>
          <w:rFonts w:ascii="Times New Roman" w:hAnsi="Times New Roman" w:eastAsia="Malgun Gothic"/>
          <w:b/>
          <w:color w:val="2E74B5"/>
          <w:sz w:val="19"/>
        </w:rPr>
        <w:t>중복·분할 누수 통제와 Monte Carlo Dropout을 포함한 자원 제약 재현 연구</w:t>
      </w:r>
    </w:p>
    <w:p>
      <w:pPr>
        <w:spacing w:after="120"/>
        <w:jc w:val="center"/>
      </w:pPr>
      <w:r>
        <w:rPr>
          <w:rFonts w:ascii="Times New Roman" w:hAnsi="Times New Roman" w:eastAsia="Malgun Gothic"/>
          <w:i/>
          <w:color w:val="5B6573"/>
          <w:sz w:val="15"/>
        </w:rPr>
        <w:t>Anonymous · 2026-08-29 · Reproducibility Paper Draft</w:t>
      </w:r>
    </w:p>
    <w:p>
      <w:pPr>
        <w:pStyle w:val="Heading1"/>
      </w:pPr>
      <w:r>
        <w:t>초록</w:t>
      </w:r>
    </w:p>
    <w:p>
      <w:pPr>
        <w:spacing w:after="60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DECODE는 CAPE 동적 API 호출을 행동 이미지로 변환하고 Bayesian Grad-CAM 및 객체탐지를 결합한다. 반면 MaleVis는 실행파일에서 파생된 정적 RGB 이미지와 단일 family 라벨을 제공하므로 두 자료를 직접 동일 과제로 취급할 수 없다. 본 연구는 이 양식 차이를 보존한 채 DECODE의 합성곱 특징학습, dropout, center loss를 26-class MaleVis 분류에 전이하고, exact-hash 중복과 해상도 간 split 불일치를 통제한다. 공통 paired manifest는 원본 14,226개 중 13,592개를 유지했고, 세 seed의 최종 test에서 최고 평균 macro-F1은 224×224 MC dropout의 82.12%였으며, 최고 평균 accuracy는 224×224 MC dropout의 78.03%였다. MC dropout은 일부 정확도 이득과 함께 calibration 및 계산비용의 상충을 보였다. bbox가 없으므로 AP·Tile Recall·SAHI 지표는 산출하지 않는다.</w:t>
      </w:r>
    </w:p>
    <w:p>
      <w:pPr>
        <w:spacing w:after="60" w:line="245" w:lineRule="auto"/>
        <w:jc w:val="left"/>
      </w:pPr>
      <w:r>
        <w:rPr>
          <w:rFonts w:ascii="Times New Roman" w:hAnsi="Times New Roman" w:eastAsia="Malgun Gothic"/>
          <w:i/>
          <w:color w:val="1F2937"/>
          <w:sz w:val="15"/>
        </w:rPr>
        <w:t>주제어: MaleVis, DECODE, 악성코드 시각화, center loss, MC dropout, 데이터 누수, 재현성</w:t>
      </w:r>
    </w:p>
    <w:p>
      <w:pPr>
        <w:pStyle w:val="Heading1"/>
      </w:pPr>
      <w:r>
        <w:t>1. 서론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악성코드 시각화는 긴 바이트 또는 행위 시퀀스를 영상 패턴으로 바꾸어 CNN의 지역적 특징 추출 능력을 활용한다. 그러나 정적 byte-image와 sandbox에서 관찰한 동적 행동 이미지는 서로 다른 관측치를 담는다. 따라서 한 데이터셋의 높은 분류 성능을 다른 양식의 지역화 능력으로 확장해 해석하면 근거 수준이 무너진다.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본 연구의 질문은 ‘DECODE 전체를 MaleVis로 재현할 수 있는가’가 아니라, ‘DECODE에서 사용한 특징학습과 불확실성 추론 요소를 정적 family 분류로 옮길 때, 누수 통제 후 해상도와 추론 모드가 어떤 성능·calibration·비용 차이를 보이는가’이다. 공개 DECODE 수치는 과제와 split이 달라 수치 baseline으로 비교하지 않는다.</w:t>
      </w:r>
    </w:p>
    <w:p>
      <w:pPr>
        <w:spacing w:after="2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기여는 다음 세 가지다.</w:t>
      </w:r>
    </w:p>
    <w:p>
      <w:pPr>
        <w:pStyle w:val="ListBullet"/>
        <w:spacing w:after="24" w:line="240" w:lineRule="auto"/>
        <w:ind w:left="259" w:hanging="187"/>
      </w:pPr>
      <w:r>
        <w:rPr>
          <w:rFonts w:ascii="Times New Roman" w:hAnsi="Times New Roman" w:eastAsia="Malgun Gothic"/>
          <w:color w:val="1F2937"/>
          <w:sz w:val="16"/>
        </w:rPr>
        <w:t>데이터 근거: 224/300 폴더를 전수 해시 감사하고 두 해상도 공통 sample ID와 중복 component를 고정했다.</w:t>
      </w:r>
    </w:p>
    <w:p>
      <w:pPr>
        <w:pStyle w:val="ListBullet"/>
        <w:spacing w:after="24" w:line="240" w:lineRule="auto"/>
        <w:ind w:left="259" w:hanging="187"/>
      </w:pPr>
      <w:r>
        <w:rPr>
          <w:rFonts w:ascii="Times New Roman" w:hAnsi="Times New Roman" w:eastAsia="Malgun Gothic"/>
          <w:color w:val="1F2937"/>
          <w:sz w:val="16"/>
        </w:rPr>
        <w:t>방법 근거: center loss와 dropout을 유지하되 CPU 재현 가능한 104,906-parameter CNN으로 과제 경계를 명시했다.</w:t>
      </w:r>
    </w:p>
    <w:p>
      <w:pPr>
        <w:pStyle w:val="ListBullet"/>
        <w:spacing w:after="24" w:line="240" w:lineRule="auto"/>
        <w:ind w:left="259" w:hanging="187"/>
      </w:pPr>
      <w:r>
        <w:rPr>
          <w:rFonts w:ascii="Times New Roman" w:hAnsi="Times New Roman" w:eastAsia="Malgun Gothic"/>
          <w:color w:val="1F2937"/>
          <w:sz w:val="16"/>
        </w:rPr>
        <w:t>보고 근거: 3개 seed, 최종 test 고정, macro 지표·calibration·bootstrap CI·forward 비용을 함께 공개한다.</w:t>
      </w:r>
    </w:p>
    <w:p>
      <w:pPr>
        <w:spacing w:after="0"/>
      </w:pPr>
      <w:r>
        <w:br w:type="page"/>
      </w:r>
    </w:p>
    <w:p>
      <w:pPr>
        <w:pStyle w:val="Heading1"/>
      </w:pPr>
      <w:r>
        <w:t>2. 관련 연구와 과제 경계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MaleVis는 Bozkir 등[1]이 공개한 RGB 악성코드 영상 자료로, 로컬 사본은 224×224와 300×300 각각 train 9,100개와 val 5,126개, 26개 폴더를 포함한다. DECODE[2,3]는 CAPE 행동 보고서에서 process, registry, network, filesystem API 정보를 배열하고 VGG 계열 분류, Bayesian Grad-CAM, feature grouping, EfficientDet로 다중 행동 특징을 지역화한다. 공통점은 시각 특징학습이지만 입력 의미와 정답 단위가 다르다.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1500"/>
        <w:gridCol w:w="3840"/>
        <w:gridCol w:w="4020"/>
      </w:tblGrid>
      <w:tr>
        <w:trPr>
          <w:trHeight w:hRule="atLeast"/>
          <w:tblHeader w:val="true"/>
          <w:cantSplit/>
        </w:trPr>
        <w:tc>
          <w:tcPr>
            <w:tcW w:type="dxa" w:w="15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구분</w:t>
            </w:r>
          </w:p>
        </w:tc>
        <w:tc>
          <w:tcPr>
            <w:tcW w:type="dxa" w:w="384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DECODE 원형</w:t>
            </w:r>
          </w:p>
        </w:tc>
        <w:tc>
          <w:tcPr>
            <w:tcW w:type="dxa" w:w="402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본 연구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입력</w:t>
            </w:r>
          </w:p>
        </w:tc>
        <w:tc>
          <w:tcPr>
            <w:tcW w:type="dxa" w:w="384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CAPE 동적 API 행동 이미지</w:t>
            </w:r>
          </w:p>
        </w:tc>
        <w:tc>
          <w:tcPr>
            <w:tcW w:type="dxa" w:w="402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MaleVis 정적 RGB 이미지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정답</w:t>
            </w:r>
          </w:p>
        </w:tc>
        <w:tc>
          <w:tcPr>
            <w:tcW w:type="dxa" w:w="384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행동 category·ROI·multi-label</w:t>
            </w:r>
          </w:p>
        </w:tc>
        <w:tc>
          <w:tcPr>
            <w:tcW w:type="dxa" w:w="402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26개 폴더 family label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전이 요소</w:t>
            </w:r>
          </w:p>
        </w:tc>
        <w:tc>
          <w:tcPr>
            <w:tcW w:type="dxa" w:w="384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CNN, dropout, center loss</w:t>
            </w:r>
          </w:p>
        </w:tc>
        <w:tc>
          <w:tcPr>
            <w:tcW w:type="dxa" w:w="402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compact CNN, dropout 0.30, center loss 0.01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평가</w:t>
            </w:r>
          </w:p>
        </w:tc>
        <w:tc>
          <w:tcPr>
            <w:tcW w:type="dxa" w:w="384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분류+객체 지역화</w:t>
            </w:r>
          </w:p>
        </w:tc>
        <w:tc>
          <w:tcPr>
            <w:tcW w:type="dxa" w:w="402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closed-set 다중분류만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적용 불가</w:t>
            </w:r>
          </w:p>
        </w:tc>
        <w:tc>
          <w:tcPr>
            <w:tcW w:type="dxa" w:w="384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—</w:t>
            </w:r>
          </w:p>
        </w:tc>
        <w:tc>
          <w:tcPr>
            <w:tcW w:type="dxa" w:w="402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AP, AP_S, bbox, Tile Recall, SAHI</w:t>
            </w:r>
          </w:p>
        </w:tc>
      </w:tr>
    </w:tbl>
    <w:p>
      <w:pPr>
        <w:spacing w:after="10"/>
      </w:pPr>
    </w:p>
    <w:p>
      <w:pPr>
        <w:pStyle w:val="Heading1"/>
      </w:pPr>
      <w:r>
        <w:t>3. 데이터 감사와 split 프로토콜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1600"/>
        <w:gridCol w:w="1600"/>
        <w:gridCol w:w="4060"/>
      </w:tblGrid>
      <w:tr>
        <w:trPr>
          <w:trHeight w:hRule="atLeast"/>
          <w:tblHeader w:val="true"/>
          <w:cantSplit/>
        </w:trPr>
        <w:tc>
          <w:tcPr>
            <w:tcW w:type="dxa" w:w="21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감사 항목</w:t>
            </w:r>
          </w:p>
        </w:tc>
        <w:tc>
          <w:tcPr>
            <w:tcW w:type="dxa" w:w="16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224×224</w:t>
            </w:r>
          </w:p>
        </w:tc>
        <w:tc>
          <w:tcPr>
            <w:tcW w:type="dxa" w:w="16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300×300</w:t>
            </w:r>
          </w:p>
        </w:tc>
        <w:tc>
          <w:tcPr>
            <w:tcW w:type="dxa" w:w="406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해석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원본 train / val</w:t>
            </w:r>
          </w:p>
        </w:tc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9,100 / 5,126</w:t>
            </w:r>
          </w:p>
        </w:tc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9,100 / 5,126</w:t>
            </w:r>
          </w:p>
        </w:tc>
        <w:tc>
          <w:tcPr>
            <w:tcW w:type="dxa" w:w="40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각 해상도 14,226개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exact duplicate group</w:t>
            </w:r>
          </w:p>
        </w:tc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225</w:t>
            </w:r>
          </w:p>
        </w:tc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187</w:t>
            </w:r>
          </w:p>
        </w:tc>
        <w:tc>
          <w:tcPr>
            <w:tcW w:type="dxa" w:w="40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내용 SHA-256 기준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split 횡단 duplicate</w:t>
            </w:r>
          </w:p>
        </w:tc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122</w:t>
            </w:r>
          </w:p>
        </w:tc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107</w:t>
            </w:r>
          </w:p>
        </w:tc>
        <w:tc>
          <w:tcPr>
            <w:tcW w:type="dxa" w:w="40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미통제 시 test 누수 가능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손상 이미지</w:t>
            </w:r>
          </w:p>
        </w:tc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0</w:t>
            </w:r>
          </w:p>
        </w:tc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0</w:t>
            </w:r>
          </w:p>
        </w:tc>
        <w:tc>
          <w:tcPr>
            <w:tcW w:type="dxa" w:w="40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전수 decode 검사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dataset fingerprint</w:t>
            </w:r>
          </w:p>
        </w:tc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17fef8969408…</w:t>
            </w:r>
          </w:p>
        </w:tc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637d1cb50fd1…</w:t>
            </w:r>
          </w:p>
        </w:tc>
        <w:tc>
          <w:tcPr>
            <w:tcW w:type="dxa" w:w="40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내용 기반 식별</w:t>
            </w:r>
          </w:p>
        </w:tc>
      </w:tr>
    </w:tbl>
    <w:p>
      <w:pPr>
        <w:spacing w:after="10"/>
      </w:pP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해상도 간 상대경로를 sample ID로 대조한 결과 공통 ID는 14,225개였고, 각 해상도에만 있는 항목은 1개씩이었다. 동일 ID의 split 불일치는 8개, label 불일치는 0개였다. 224 split을 canonical로 고정하고 두 해상도의 중복 그래프를 합쳐 635개를 논리적으로 제외했다. 원본 파일은 수정하지 않았다.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1800"/>
        <w:gridCol w:w="1800"/>
        <w:gridCol w:w="1900"/>
        <w:gridCol w:w="1800"/>
        <w:gridCol w:w="2060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E2F0D9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5"/>
              </w:rPr>
              <w:t>공통 ID</w:t>
            </w:r>
          </w:p>
        </w:tc>
        <w:tc>
          <w:tcPr>
            <w:tcW w:type="dxa" w:w="1800"/>
            <w:shd w:fill="E2F0D9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5"/>
              </w:rPr>
              <w:t>union dedup</w:t>
            </w:r>
          </w:p>
        </w:tc>
        <w:tc>
          <w:tcPr>
            <w:tcW w:type="dxa" w:w="1900"/>
            <w:shd w:fill="E2F0D9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5"/>
              </w:rPr>
              <w:t>모델선택 train</w:t>
            </w:r>
          </w:p>
        </w:tc>
        <w:tc>
          <w:tcPr>
            <w:tcW w:type="dxa" w:w="1800"/>
            <w:shd w:fill="E2F0D9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5"/>
              </w:rPr>
              <w:t>내부 val</w:t>
            </w:r>
          </w:p>
        </w:tc>
        <w:tc>
          <w:tcPr>
            <w:tcW w:type="dxa" w:w="2060"/>
            <w:shd w:fill="E2F0D9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5"/>
              </w:rPr>
              <w:t>최종 test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14,225</w:t>
            </w:r>
          </w:p>
        </w:tc>
        <w:tc>
          <w:tcPr>
            <w:tcW w:type="dxa" w:w="18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13,592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7,363</w:t>
            </w:r>
          </w:p>
        </w:tc>
        <w:tc>
          <w:tcPr>
            <w:tcW w:type="dxa" w:w="18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1,230</w:t>
            </w:r>
          </w:p>
        </w:tc>
        <w:tc>
          <w:tcPr>
            <w:tcW w:type="dxa" w:w="20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4,999</w:t>
            </w:r>
          </w:p>
        </w:tc>
      </w:tr>
    </w:tbl>
    <w:p>
      <w:pPr>
        <w:spacing w:after="1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  <w:shd w:fill="FFF2CC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Malgun Gothic"/>
                <w:b/>
                <w:color w:val="17365D"/>
                <w:sz w:val="16"/>
              </w:rPr>
              <w:t xml:space="preserve">라벨 주의  </w:t>
            </w:r>
            <w:r>
              <w:rPr>
                <w:rFonts w:ascii="Times New Roman" w:hAnsi="Times New Roman" w:eastAsia="Malgun Gothic"/>
                <w:color w:val="1F2937"/>
                <w:sz w:val="16"/>
              </w:rPr>
              <w:t>로컬 폴더명 ‘Other’는 출처 metadata가 없는 상태에서 benign으로 재해석하지 않았다. 따라서 본 평가는 악성/정상 탐지가 아니라 폴더 라벨 기반 26-class closed-set 분류다.</w:t>
            </w:r>
          </w:p>
        </w:tc>
      </w:tr>
    </w:tbl>
    <w:p>
      <w:pPr>
        <w:spacing w:after="10"/>
      </w:pPr>
    </w:p>
    <w:p>
      <w:pPr>
        <w:spacing w:after="0"/>
      </w:pPr>
      <w:r>
        <w:br w:type="page"/>
      </w:r>
    </w:p>
    <w:p>
      <w:pPr>
        <w:pStyle w:val="Heading1"/>
      </w:pPr>
      <w:r>
        <w:t>4. 방법</w:t>
      </w:r>
    </w:p>
    <w:p>
      <w:pPr>
        <w:pStyle w:val="Heading2"/>
      </w:pPr>
      <w:r>
        <w:t>4.1 DECODE-inspired compact classifier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입력은 RGB로 변환한 뒤 해당 해상도로 확인·resize하고 ImageNet channel 통계로 정규화했다. 영상 방향이 바이트 배열 의미를 가질 수 있어 flip·crop·rotation 증강은 사용하지 않았다. 모델은 5×5 stride-2 stem과 4개 depthwise-separable block(24→48→96→160→256), adaptive average pooling, 128차원 embedding, 26-way linear classifier로 구성된다. 각 block의 Dropout2d 비율은 최종 0.30까지 증가한다.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1600"/>
        <w:gridCol w:w="2000"/>
        <w:gridCol w:w="3460"/>
        <w:gridCol w:w="2300"/>
      </w:tblGrid>
      <w:tr>
        <w:trPr>
          <w:trHeight w:hRule="atLeast"/>
          <w:tblHeader w:val="true"/>
          <w:cantSplit/>
        </w:trPr>
        <w:tc>
          <w:tcPr>
            <w:tcW w:type="dxa" w:w="16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단계</w:t>
            </w:r>
          </w:p>
        </w:tc>
        <w:tc>
          <w:tcPr>
            <w:tcW w:type="dxa" w:w="20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출력 채널/차원</w:t>
            </w:r>
          </w:p>
        </w:tc>
        <w:tc>
          <w:tcPr>
            <w:tcW w:type="dxa" w:w="346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핵심 연산</w:t>
            </w:r>
          </w:p>
        </w:tc>
        <w:tc>
          <w:tcPr>
            <w:tcW w:type="dxa" w:w="23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regularization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Stem</w:t>
            </w:r>
          </w:p>
        </w:tc>
        <w:tc>
          <w:tcPr>
            <w:tcW w:type="dxa" w:w="20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24</w:t>
            </w:r>
          </w:p>
        </w:tc>
        <w:tc>
          <w:tcPr>
            <w:tcW w:type="dxa" w:w="34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5×5 conv, stride 2</w:t>
            </w:r>
          </w:p>
        </w:tc>
        <w:tc>
          <w:tcPr>
            <w:tcW w:type="dxa" w:w="23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BatchNorm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DS blocks 1–4</w:t>
            </w:r>
          </w:p>
        </w:tc>
        <w:tc>
          <w:tcPr>
            <w:tcW w:type="dxa" w:w="20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48/96/160/256</w:t>
            </w:r>
          </w:p>
        </w:tc>
        <w:tc>
          <w:tcPr>
            <w:tcW w:type="dxa" w:w="34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DW 3×3 s2 + PW 1×1</w:t>
            </w:r>
          </w:p>
        </w:tc>
        <w:tc>
          <w:tcPr>
            <w:tcW w:type="dxa" w:w="23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BN + Dropout2d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Embedding</w:t>
            </w:r>
          </w:p>
        </w:tc>
        <w:tc>
          <w:tcPr>
            <w:tcW w:type="dxa" w:w="20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128</w:t>
            </w:r>
          </w:p>
        </w:tc>
        <w:tc>
          <w:tcPr>
            <w:tcW w:type="dxa" w:w="34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GAP + Linear + ReLU</w:t>
            </w:r>
          </w:p>
        </w:tc>
        <w:tc>
          <w:tcPr>
            <w:tcW w:type="dxa" w:w="23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Dropout 0.30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Classifier</w:t>
            </w:r>
          </w:p>
        </w:tc>
        <w:tc>
          <w:tcPr>
            <w:tcW w:type="dxa" w:w="20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26</w:t>
            </w:r>
          </w:p>
        </w:tc>
        <w:tc>
          <w:tcPr>
            <w:tcW w:type="dxa" w:w="34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Linear logits</w:t>
            </w:r>
          </w:p>
        </w:tc>
        <w:tc>
          <w:tcPr>
            <w:tcW w:type="dxa" w:w="23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weighted CE</w:t>
            </w:r>
          </w:p>
        </w:tc>
      </w:tr>
    </w:tbl>
    <w:p>
      <w:pPr>
        <w:spacing w:after="10"/>
      </w:pP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학습 목적함수는 L = L_weighted-CE + 0.01·(1/2B)Σᵢ‖zᵢ−cᵧᵢ‖² 이다. 두 번째 항은 Wen 등[5]의 center loss로 같은 class embedding의 응집성을 유도한다. dedup 이후 class 불균형을 반영해 inverse-frequency class weight를 사용했고 label smoothing은 0.05로 고정했다.</w:t>
      </w:r>
    </w:p>
    <w:p>
      <w:pPr>
        <w:pStyle w:val="Heading2"/>
      </w:pPr>
      <w:r>
        <w:t>4.2 학습·모델선택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1800"/>
        <w:gridCol w:w="2700"/>
        <w:gridCol w:w="1900"/>
        <w:gridCol w:w="2960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항목</w:t>
            </w:r>
          </w:p>
        </w:tc>
        <w:tc>
          <w:tcPr>
            <w:tcW w:type="dxa" w:w="27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고정값</w:t>
            </w:r>
          </w:p>
        </w:tc>
        <w:tc>
          <w:tcPr>
            <w:tcW w:type="dxa" w:w="19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항목</w:t>
            </w:r>
          </w:p>
        </w:tc>
        <w:tc>
          <w:tcPr>
            <w:tcW w:type="dxa" w:w="296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고정값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Seeds</w:t>
            </w:r>
          </w:p>
        </w:tc>
        <w:tc>
          <w:tcPr>
            <w:tcW w:type="dxa" w:w="27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42, 43, 44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Epoch / patience</w:t>
            </w:r>
          </w:p>
        </w:tc>
        <w:tc>
          <w:tcPr>
            <w:tcW w:type="dxa" w:w="29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12 / 4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Batch</w:t>
            </w:r>
          </w:p>
        </w:tc>
        <w:tc>
          <w:tcPr>
            <w:tcW w:type="dxa" w:w="27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32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Optimizer</w:t>
            </w:r>
          </w:p>
        </w:tc>
        <w:tc>
          <w:tcPr>
            <w:tcW w:type="dxa" w:w="29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AdamW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LR / weight decay</w:t>
            </w:r>
          </w:p>
        </w:tc>
        <w:tc>
          <w:tcPr>
            <w:tcW w:type="dxa" w:w="27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0.002 / 1e−4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Scheduler</w:t>
            </w:r>
          </w:p>
        </w:tc>
        <w:tc>
          <w:tcPr>
            <w:tcW w:type="dxa" w:w="29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Cosine annealing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Center optimizer</w:t>
            </w:r>
          </w:p>
        </w:tc>
        <w:tc>
          <w:tcPr>
            <w:tcW w:type="dxa" w:w="27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SGD, lr=0.05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선택 지표</w:t>
            </w:r>
          </w:p>
        </w:tc>
        <w:tc>
          <w:tcPr>
            <w:tcW w:type="dxa" w:w="29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내부 macro-F1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Internal val</w:t>
            </w:r>
          </w:p>
        </w:tc>
        <w:tc>
          <w:tcPr>
            <w:tcW w:type="dxa" w:w="27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class별 15%, 최대 50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Test 사용</w:t>
            </w:r>
          </w:p>
        </w:tc>
        <w:tc>
          <w:tcPr>
            <w:tcW w:type="dxa" w:w="29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모델선택 후 1회</w:t>
            </w:r>
          </w:p>
        </w:tc>
      </w:tr>
    </w:tbl>
    <w:p>
      <w:pPr>
        <w:spacing w:after="10"/>
      </w:pPr>
    </w:p>
    <w:p>
      <w:pPr>
        <w:pStyle w:val="Heading2"/>
      </w:pPr>
      <w:r>
        <w:t>4.3 추론, 통계와 비용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Deterministic 모드는 dropout을 끄고 한 번 추론한다. MC dropout은 BatchNorm을 eval 상태로 유지하면서 dropout만 활성화해 T=5 확률을 평균하고 predictive entropy와 mutual information을 저장한다[4]. Accuracy 외에 macro precision/recall/F1, weighted F1, top-5, NLL, multiclass Brier, 15-bin ECE를 계산한다[6].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세 seed 평균과 sample SD를 주 결과로 보고하고 n=3 Student-t 95% 구간을 함께 제시한다. 각 run에는 class를 보존한 500회 bootstrap의 test-sample 95% 구간도 저장한다. timing은 seed 42에서만 3회 반복한다. p95는 batch 로딩 후 forward 시간을 batch size로 나눈 관측치이므로 single-request end-to-end latency가 아니다.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Malgun Gothic"/>
                <w:b/>
                <w:color w:val="17365D"/>
                <w:sz w:val="16"/>
              </w:rPr>
              <w:t xml:space="preserve">사전 해석 규칙  </w:t>
            </w:r>
            <w:r>
              <w:rPr>
                <w:rFonts w:ascii="Times New Roman" w:hAnsi="Times New Roman" w:eastAsia="Malgun Gothic"/>
                <w:color w:val="1F2937"/>
                <w:sz w:val="16"/>
              </w:rPr>
              <w:t>MC dropout의 정확도 개선만으로 우수성을 결론내리지 않는다. ECE·NLL과 약 5회 forward 비용을 동시에 검토하며, 해상도 비교는 같은 source set의 두 rendering 비교로 한정한다.</w:t>
            </w:r>
          </w:p>
        </w:tc>
      </w:tr>
    </w:tbl>
    <w:p>
      <w:pPr>
        <w:spacing w:after="10"/>
      </w:pPr>
    </w:p>
    <w:p>
      <w:pPr>
        <w:spacing w:after="0"/>
      </w:pPr>
      <w:r>
        <w:br w:type="page"/>
      </w:r>
    </w:p>
    <w:p>
      <w:pPr>
        <w:pStyle w:val="Heading1"/>
      </w:pPr>
      <w:r>
        <w:t>5. 결과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1400"/>
        <w:gridCol w:w="1900"/>
        <w:gridCol w:w="1900"/>
        <w:gridCol w:w="1450"/>
        <w:gridCol w:w="1450"/>
        <w:gridCol w:w="1260"/>
      </w:tblGrid>
      <w:tr>
        <w:trPr>
          <w:trHeight w:hRule="atLeast"/>
          <w:tblHeader w:val="true"/>
          <w:cantSplit/>
        </w:trPr>
        <w:tc>
          <w:tcPr>
            <w:tcW w:type="dxa" w:w="14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해상도·모드</w:t>
            </w:r>
          </w:p>
        </w:tc>
        <w:tc>
          <w:tcPr>
            <w:tcW w:type="dxa" w:w="19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Accuracy %</w:t>
            </w:r>
          </w:p>
        </w:tc>
        <w:tc>
          <w:tcPr>
            <w:tcW w:type="dxa" w:w="190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Macro-F1 %</w:t>
            </w:r>
          </w:p>
        </w:tc>
        <w:tc>
          <w:tcPr>
            <w:tcW w:type="dxa" w:w="145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ECE</w:t>
            </w:r>
          </w:p>
        </w:tc>
        <w:tc>
          <w:tcPr>
            <w:tcW w:type="dxa" w:w="145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NLL</w:t>
            </w:r>
          </w:p>
        </w:tc>
        <w:tc>
          <w:tcPr>
            <w:tcW w:type="dxa" w:w="126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p95 ms/img*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224 · Det.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76.91 ± 1.31</w:t>
              <w:br/>
              <w:t>CI 73.65–80.17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81.99 ± 0.61</w:t>
              <w:br/>
              <w:t>CI 80.47–83.51</w:t>
            </w:r>
          </w:p>
        </w:tc>
        <w:tc>
          <w:tcPr>
            <w:tcW w:type="dxa" w:w="14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0.05 ± 0.01</w:t>
            </w:r>
          </w:p>
        </w:tc>
        <w:tc>
          <w:tcPr>
            <w:tcW w:type="dxa" w:w="14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0.89 ± 0.04</w:t>
            </w:r>
          </w:p>
        </w:tc>
        <w:tc>
          <w:tcPr>
            <w:tcW w:type="dxa" w:w="12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1.80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224 · MC×5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78.03 ± 0.69</w:t>
              <w:br/>
              <w:t>CI 76.32–79.73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82.12 ± 0.53</w:t>
              <w:br/>
              <w:t>CI 80.80–83.45</w:t>
            </w:r>
          </w:p>
        </w:tc>
        <w:tc>
          <w:tcPr>
            <w:tcW w:type="dxa" w:w="14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0.14 ± 0.02</w:t>
            </w:r>
          </w:p>
        </w:tc>
        <w:tc>
          <w:tcPr>
            <w:tcW w:type="dxa" w:w="14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0.96 ± 0.02</w:t>
            </w:r>
          </w:p>
        </w:tc>
        <w:tc>
          <w:tcPr>
            <w:tcW w:type="dxa" w:w="12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29.45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300 · Det.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75.15 ± 1.66</w:t>
              <w:br/>
              <w:t>CI 71.03–79.26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80.25 ± 1.21</w:t>
              <w:br/>
              <w:t>CI 77.24–83.26</w:t>
            </w:r>
          </w:p>
        </w:tc>
        <w:tc>
          <w:tcPr>
            <w:tcW w:type="dxa" w:w="14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0.05 ± 0.01</w:t>
            </w:r>
          </w:p>
        </w:tc>
        <w:tc>
          <w:tcPr>
            <w:tcW w:type="dxa" w:w="14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0.96 ± 0.04</w:t>
            </w:r>
          </w:p>
        </w:tc>
        <w:tc>
          <w:tcPr>
            <w:tcW w:type="dxa" w:w="12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9.03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300 · MC×5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76.42 ± 1.17</w:t>
              <w:br/>
              <w:t>CI 73.51–79.34</w:t>
            </w:r>
          </w:p>
        </w:tc>
        <w:tc>
          <w:tcPr>
            <w:tcW w:type="dxa" w:w="19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80.84 ± 0.56</w:t>
              <w:br/>
              <w:t>CI 79.46–82.22</w:t>
            </w:r>
          </w:p>
        </w:tc>
        <w:tc>
          <w:tcPr>
            <w:tcW w:type="dxa" w:w="14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0.14 ± 0.01</w:t>
            </w:r>
          </w:p>
        </w:tc>
        <w:tc>
          <w:tcPr>
            <w:tcW w:type="dxa" w:w="14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1.03 ± 0.04</w:t>
            </w:r>
          </w:p>
        </w:tc>
        <w:tc>
          <w:tcPr>
            <w:tcW w:type="dxa" w:w="12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22.73</w:t>
            </w:r>
          </w:p>
        </w:tc>
      </w:tr>
    </w:tbl>
    <w:p>
      <w:pPr>
        <w:spacing w:after="10"/>
      </w:pPr>
    </w:p>
    <w:p>
      <w:pPr>
        <w:spacing w:after="20" w:line="245" w:lineRule="auto"/>
        <w:jc w:val="center"/>
      </w:pPr>
      <w:r>
        <w:rPr>
          <w:rFonts w:ascii="Times New Roman" w:hAnsi="Times New Roman" w:eastAsia="Malgun Gothic"/>
          <w:i/>
          <w:color w:val="1F2937"/>
          <w:sz w:val="14"/>
        </w:rPr>
        <w:t>표 1. 세 seed 평균 ± sample SD와 seed 간 t 95% CI. *seed 42의 batched model-forward 환산 p95이며 데이터 decode를 포함한 단일 요청 지연이 아니다.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74584"/>
            <wp:docPr id="1" name="Picture 1" descr="그림 1. 해상도·추론 모드별 성능, calibration, 취약 class, 대표 forward 비용. Error bar는 3-seed sample SD다." titl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Times New Roman" w:hAnsi="Times New Roman" w:eastAsia="Malgun Gothic"/>
          <w:i/>
          <w:color w:val="5B6573"/>
          <w:sz w:val="14"/>
        </w:rPr>
        <w:t>그림 1. 해상도·추론 모드별 성능, calibration, 취약 class, 대표 forward 비용. Error bar는 3-seed sample SD다.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Deterministic 300×300은 224×224 대비 accuracy가 -1.76 pp, macro-F1이 -1.74 pp 변했다. 해상도 증가의 방향과 크기는 지표별로 분리해 해석해야 하며, 두 조건은 독립 dataset이 아니라 동일 sample의 다른 rendering이다.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MC dropout은 224에서 accuracy +1.12 pp, macro-F1 +0.14 pp; 300에서 각각 +1.27 pp, +0.59 pp의 평균 변화를 보였다. ECE 변화는 224 +9.05 pp, 300 +9.60 pp로, 정확도 변화와 calibration 변화가 같은 방향이라고 가정할 수 없었다.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5"/>
        </w:rPr>
        <w:t>동일 seed를 짝지은 MC−deterministic accuracy 차이의 t 95% CI는 224에서 [-0.67, 2.91] pp, 300에서 [-1.45, 4.00] pp였다. 세 seed 구간은 모두 저검정력 기술통계로 해석했다.</w:t>
      </w:r>
    </w:p>
    <w:p>
      <w:pPr>
        <w:spacing w:after="0"/>
      </w:pPr>
      <w:r>
        <w:br w:type="page"/>
      </w:r>
    </w:p>
    <w:p>
      <w:pPr>
        <w:pStyle w:val="Heading1"/>
      </w:pPr>
      <w:r>
        <w:t>6. 논의</w:t>
      </w:r>
    </w:p>
    <w:p>
      <w:pPr>
        <w:pStyle w:val="Heading2"/>
      </w:pPr>
      <w:r>
        <w:t>6.1 성능–불확실성–비용의 상충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T=5 MC 추론의 대표 p95/이미지는 deterministic 대비 224에서 16.40배, 300에서 2.52배였다. 이는 stochastic averaging이 무료 성능 향상이 아님을 보여준다. ECE가 악화되는 조건에서는 MC probability를 곧바로 calibrated probability로 간주할 수 없고, 별도 temperature scaling 또는 calibration set을 둔 후 재검증해야 한다.</w:t>
      </w:r>
    </w:p>
    <w:p>
      <w:pPr>
        <w:pStyle w:val="Heading2"/>
      </w:pPr>
      <w:r>
        <w:t>6.2 Class별 실패 양상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3000"/>
        <w:gridCol w:w="2100"/>
        <w:gridCol w:w="2100"/>
        <w:gridCol w:w="2160"/>
      </w:tblGrid>
      <w:tr>
        <w:trPr>
          <w:trHeight w:hRule="atLeast"/>
          <w:tblHeader w:val="true"/>
          <w:cantSplit/>
        </w:trPr>
        <w:tc>
          <w:tcPr>
            <w:tcW w:type="dxa" w:w="3000"/>
            <w:shd w:fill="FFF2CC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5"/>
              </w:rPr>
              <w:t>취약 class</w:t>
            </w:r>
          </w:p>
        </w:tc>
        <w:tc>
          <w:tcPr>
            <w:tcW w:type="dxa" w:w="2100"/>
            <w:shd w:fill="FFF2CC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5"/>
              </w:rPr>
              <w:t>224 MC F1</w:t>
            </w:r>
          </w:p>
        </w:tc>
        <w:tc>
          <w:tcPr>
            <w:tcW w:type="dxa" w:w="2100"/>
            <w:shd w:fill="FFF2CC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5"/>
              </w:rPr>
              <w:t>300 MC F1</w:t>
            </w:r>
          </w:p>
        </w:tc>
        <w:tc>
          <w:tcPr>
            <w:tcW w:type="dxa" w:w="2160"/>
            <w:shd w:fill="FFF2CC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5"/>
              </w:rPr>
              <w:t>해상도 평균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Sality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0.403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0.375</w:t>
            </w:r>
          </w:p>
        </w:tc>
        <w:tc>
          <w:tcPr>
            <w:tcW w:type="dxa" w:w="21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0.389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Neshta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0.396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0.410</w:t>
            </w:r>
          </w:p>
        </w:tc>
        <w:tc>
          <w:tcPr>
            <w:tcW w:type="dxa" w:w="21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0.403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Agent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0.486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0.503</w:t>
            </w:r>
          </w:p>
        </w:tc>
        <w:tc>
          <w:tcPr>
            <w:tcW w:type="dxa" w:w="21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0.494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Expiro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0.578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0.614</w:t>
            </w:r>
          </w:p>
        </w:tc>
        <w:tc>
          <w:tcPr>
            <w:tcW w:type="dxa" w:w="21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0.596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Injector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0.644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0.637</w:t>
            </w:r>
          </w:p>
        </w:tc>
        <w:tc>
          <w:tcPr>
            <w:tcW w:type="dxa" w:w="21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0.641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Other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0.686</w:t>
            </w:r>
          </w:p>
        </w:tc>
        <w:tc>
          <w:tcPr>
            <w:tcW w:type="dxa" w:w="21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0.647</w:t>
            </w:r>
          </w:p>
        </w:tc>
        <w:tc>
          <w:tcPr>
            <w:tcW w:type="dxa" w:w="21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5"/>
              </w:rPr>
              <w:t>0.666</w:t>
            </w:r>
          </w:p>
        </w:tc>
      </w:tr>
    </w:tbl>
    <w:p>
      <w:pPr>
        <w:spacing w:after="10"/>
      </w:pP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취약 class는 단순 전체 accuracy로 가려지는 family별 오류를 드러낸다. 반대로 평균 F1이 높은 class는 VBA, Hlux, Vilsel, Snarasite였다. 특히 대규모 ‘Other’ class의 성능은 전체 accuracy에 큰 영향을 주므로 macro-F1과 per-class 지표를 함께 보고해야 한다.</w:t>
      </w:r>
    </w:p>
    <w:p>
      <w:pPr>
        <w:pStyle w:val="Heading2"/>
      </w:pPr>
      <w:r>
        <w:t>6.3 타당성 위협</w:t>
      </w:r>
    </w:p>
    <w:p>
      <w:pPr>
        <w:pStyle w:val="ListBullet"/>
        <w:spacing w:after="24" w:line="240" w:lineRule="auto"/>
        <w:ind w:left="259" w:hanging="187"/>
      </w:pPr>
      <w:r>
        <w:rPr>
          <w:rFonts w:ascii="Times New Roman" w:hAnsi="Times New Roman" w:eastAsia="Malgun Gothic"/>
          <w:color w:val="1F2937"/>
          <w:sz w:val="16"/>
        </w:rPr>
        <w:t>양식 타당성: 정적 byte-derived image 결과는 CAPE 동적 행동 탐지나 새로운 악성 행위 발견 성능을 증명하지 않는다.</w:t>
      </w:r>
    </w:p>
    <w:p>
      <w:pPr>
        <w:pStyle w:val="ListBullet"/>
        <w:spacing w:after="24" w:line="240" w:lineRule="auto"/>
        <w:ind w:left="259" w:hanging="187"/>
      </w:pPr>
      <w:r>
        <w:rPr>
          <w:rFonts w:ascii="Times New Roman" w:hAnsi="Times New Roman" w:eastAsia="Malgun Gothic"/>
          <w:color w:val="1F2937"/>
          <w:sz w:val="16"/>
        </w:rPr>
        <w:t>정답 타당성: bbox와 행동 feature label이 없어 Grad-CAM ROI, AP, Tile Recall, SAHI 주장을 검증할 수 없다.</w:t>
      </w:r>
    </w:p>
    <w:p>
      <w:pPr>
        <w:pStyle w:val="ListBullet"/>
        <w:spacing w:after="24" w:line="240" w:lineRule="auto"/>
        <w:ind w:left="259" w:hanging="187"/>
      </w:pPr>
      <w:r>
        <w:rPr>
          <w:rFonts w:ascii="Times New Roman" w:hAnsi="Times New Roman" w:eastAsia="Malgun Gothic"/>
          <w:color w:val="1F2937"/>
          <w:sz w:val="16"/>
        </w:rPr>
        <w:t>모델 타당성: CPU 자원에 맞춘 compact CNN은 DECODE의 VGG16/EfficientDet를 byte-for-byte 재현하지 않는다.</w:t>
      </w:r>
    </w:p>
    <w:p>
      <w:pPr>
        <w:pStyle w:val="ListBullet"/>
        <w:spacing w:after="24" w:line="240" w:lineRule="auto"/>
        <w:ind w:left="259" w:hanging="187"/>
      </w:pPr>
      <w:r>
        <w:rPr>
          <w:rFonts w:ascii="Times New Roman" w:hAnsi="Times New Roman" w:eastAsia="Malgun Gothic"/>
          <w:color w:val="1F2937"/>
          <w:sz w:val="16"/>
        </w:rPr>
        <w:t>데이터 타당성: exact SHA-256 중복은 제거했지만 near-duplicate, packer lineage, 동일 원본의 변형 관계는 metadata 부재로 통제하지 못했다.</w:t>
      </w:r>
    </w:p>
    <w:p>
      <w:pPr>
        <w:pStyle w:val="ListBullet"/>
        <w:spacing w:after="24" w:line="240" w:lineRule="auto"/>
        <w:ind w:left="259" w:hanging="187"/>
      </w:pPr>
      <w:r>
        <w:rPr>
          <w:rFonts w:ascii="Times New Roman" w:hAnsi="Times New Roman" w:eastAsia="Malgun Gothic"/>
          <w:color w:val="1F2937"/>
          <w:sz w:val="16"/>
        </w:rPr>
        <w:t>일반화: 하나의 closed-set dataset과 3개 seed만 사용했으며 temporal·family-held-out·open-set 검증이 없다.</w:t>
      </w:r>
    </w:p>
    <w:p>
      <w:pPr>
        <w:pStyle w:val="ListBullet"/>
        <w:spacing w:after="24" w:line="240" w:lineRule="auto"/>
        <w:ind w:left="259" w:hanging="187"/>
      </w:pPr>
      <w:r>
        <w:rPr>
          <w:rFonts w:ascii="Times New Roman" w:hAnsi="Times New Roman" w:eastAsia="Malgun Gothic"/>
          <w:color w:val="1F2937"/>
          <w:sz w:val="16"/>
        </w:rPr>
        <w:t>비교 타당성: 기존 MaleVis 논문과 split·dedup·모델이 달라 보고된 accuracy를 직접 순위 비교하지 않았다.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Malgun Gothic"/>
                <w:b/>
                <w:color w:val="17365D"/>
                <w:sz w:val="16"/>
              </w:rPr>
              <w:t xml:space="preserve">증거 등급  </w:t>
            </w:r>
            <w:r>
              <w:rPr>
                <w:rFonts w:ascii="Times New Roman" w:hAnsi="Times New Roman" w:eastAsia="Malgun Gothic"/>
                <w:color w:val="1F2937"/>
                <w:sz w:val="16"/>
              </w:rPr>
              <w:t>본 결과가 직접 지지하는 결론은 ‘고정 MaleVis paired split에서 compact DECODE-inspired 분류기의 해상도/MC 추론 차이’까지다. ‘strict DECODE 재현’, ‘행동 지역화’, ‘실환경 악성/정상 탐지’는 지지하지 않는다.</w:t>
            </w:r>
          </w:p>
        </w:tc>
      </w:tr>
    </w:tbl>
    <w:p>
      <w:pPr>
        <w:spacing w:after="10"/>
      </w:pPr>
    </w:p>
    <w:p>
      <w:pPr>
        <w:pStyle w:val="Heading2"/>
      </w:pPr>
      <w:r>
        <w:t>6.4 후속 실험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다음 단계는 (i) 출처가 검증된 benign class와 family/group metadata 확보, (ii) perceptual near-duplicate audit와 family-held-out split, (iii) 동일 split의 VGG16 및 경량 backbone 비교, (iv) calibration 전용 validation, (v) CAPE 행동 이미지·독립 bbox가 준비된 뒤에만 Grad-CAM/객체탐지/SAHI 평가를 수행하는 것이다.</w:t>
      </w:r>
    </w:p>
    <w:p>
      <w:pPr>
        <w:spacing w:after="0"/>
      </w:pPr>
      <w:r>
        <w:br w:type="page"/>
      </w:r>
    </w:p>
    <w:p>
      <w:pPr>
        <w:pStyle w:val="Heading1"/>
      </w:pPr>
      <w:r>
        <w:t>7. 결론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본 연구는 DECODE를 MaleVis에 그대로 대입하지 않고, 전이 가능한 학습 요소와 전이할 수 없는 정답 의미를 먼저 분리했다. 전수 해시 감사와 두 해상도 공통 paired manifest를 통해 split 횡단 중복과 해상도 간 split swap을 통제했으며, 3-seed deterministic/MC 평가를 모두 실행했다. 결과는 MC dropout이 조건에 따라 accuracy를 바꿀 수 있지만 macro-F1·calibration·약 5회 추론비용을 함께 보지 않으면 결론이 달라질 수 있음을 보여준다.</w:t>
      </w: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6"/>
        </w:rPr>
        <w:t>따라서 이 구현은 정적 악성코드 family 분류의 재현 가능한 baseline으로는 사용할 수 있으나, DECODE의 동적 다중행동 지역화나 UA-SAHI의 작은 객체 효율을 검증한 결과로 사용할 수 없다. 이러한 음의 경계를 명시하는 것 자체가 서로 다른 malware-visualization 연구를 공정하게 연결하기 위한 핵심 조건이다.</w:t>
      </w:r>
    </w:p>
    <w:p>
      <w:pPr>
        <w:pStyle w:val="Heading1"/>
      </w:pPr>
      <w:r>
        <w:t>8. 재현성 및 산출물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1250"/>
        <w:gridCol w:w="4250"/>
        <w:gridCol w:w="3860"/>
      </w:tblGrid>
      <w:tr>
        <w:trPr>
          <w:trHeight w:hRule="atLeast"/>
          <w:tblHeader w:val="true"/>
          <w:cantSplit/>
        </w:trPr>
        <w:tc>
          <w:tcPr>
            <w:tcW w:type="dxa" w:w="125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단계</w:t>
            </w:r>
          </w:p>
        </w:tc>
        <w:tc>
          <w:tcPr>
            <w:tcW w:type="dxa" w:w="425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명령/근거</w:t>
            </w:r>
          </w:p>
        </w:tc>
        <w:tc>
          <w:tcPr>
            <w:tcW w:type="dxa" w:w="3860"/>
            <w:shd w:fill="E8EEF5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핵심 출력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Audit</w:t>
            </w:r>
          </w:p>
        </w:tc>
        <w:tc>
          <w:tcPr>
            <w:tcW w:type="dxa" w:w="42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scripts/audit_malevis_dataset.py</w:t>
            </w:r>
          </w:p>
        </w:tc>
        <w:tc>
          <w:tcPr>
            <w:tcW w:type="dxa" w:w="38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두 audit JSON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Paired split</w:t>
            </w:r>
          </w:p>
        </w:tc>
        <w:tc>
          <w:tcPr>
            <w:tcW w:type="dxa" w:w="42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scripts/build_malevis_paired_manifest.py</w:t>
            </w:r>
          </w:p>
        </w:tc>
        <w:tc>
          <w:tcPr>
            <w:tcW w:type="dxa" w:w="38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malevis-paired-split-v1.json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6 runs</w:t>
            </w:r>
          </w:p>
        </w:tc>
        <w:tc>
          <w:tcPr>
            <w:tcW w:type="dxa" w:w="42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scripts/run_malevis_experiment.py</w:t>
            </w:r>
          </w:p>
        </w:tc>
        <w:tc>
          <w:tcPr>
            <w:tcW w:type="dxa" w:w="38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summary, checkpoint, predictions, confusion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Aggregate</w:t>
            </w:r>
          </w:p>
        </w:tc>
        <w:tc>
          <w:tcPr>
            <w:tcW w:type="dxa" w:w="42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scripts/aggregate_malevis_results.py</w:t>
            </w:r>
          </w:p>
        </w:tc>
        <w:tc>
          <w:tcPr>
            <w:tcW w:type="dxa" w:w="38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aggregate.json/.csv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Figure</w:t>
            </w:r>
          </w:p>
        </w:tc>
        <w:tc>
          <w:tcPr>
            <w:tcW w:type="dxa" w:w="425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scripts/create_malevis_paper_figure.py</w:t>
            </w:r>
          </w:p>
        </w:tc>
        <w:tc>
          <w:tcPr>
            <w:tcW w:type="dxa" w:w="38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overview PNG</w:t>
            </w:r>
          </w:p>
        </w:tc>
      </w:tr>
    </w:tbl>
    <w:p>
      <w:pPr>
        <w:spacing w:after="10"/>
      </w:pPr>
    </w:p>
    <w:p>
      <w:pPr>
        <w:spacing w:after="44" w:line="245" w:lineRule="auto"/>
        <w:jc w:val="both"/>
      </w:pPr>
      <w:r>
        <w:rPr>
          <w:rFonts w:ascii="Times New Roman" w:hAnsi="Times New Roman" w:eastAsia="Malgun Gothic"/>
          <w:i w:val="0"/>
          <w:color w:val="1F2937"/>
          <w:sz w:val="15"/>
        </w:rPr>
        <w:t>전체 PowerShell 명령은 README의 ‘MaleVis에서 재현하는 DECODE 전이 분류 실험’ 절에 수록했다. 각 run은 dataset fingerprint, manifest SHA-256, 설정, Python/PyTorch/device, best epoch, checkpoint SHA-256를 summary.json에 기록하며 기존 출력 디렉터리 덮어쓰기를 거부한다. 최종 소스 검증은 Ruff 전체 통과, pytest 107 passed, repository safety 통과를 확인했다.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85" w:type="dxa"/>
      </w:tblPr>
      <w:tblGrid>
        <w:gridCol w:w="2500"/>
        <w:gridCol w:w="3300"/>
        <w:gridCol w:w="3560"/>
      </w:tblGrid>
      <w:tr>
        <w:trPr>
          <w:trHeight w:hRule="atLeast"/>
          <w:tblHeader w:val="true"/>
          <w:cantSplit/>
        </w:trPr>
        <w:tc>
          <w:tcPr>
            <w:tcW w:type="dxa" w:w="2500"/>
            <w:shd w:fill="E2F0D9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Artifact</w:t>
            </w:r>
          </w:p>
        </w:tc>
        <w:tc>
          <w:tcPr>
            <w:tcW w:type="dxa" w:w="3300"/>
            <w:shd w:fill="E2F0D9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SHA-256 (prefix)</w:t>
            </w:r>
          </w:p>
        </w:tc>
        <w:tc>
          <w:tcPr>
            <w:tcW w:type="dxa" w:w="3560"/>
            <w:shd w:fill="E2F0D9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Times New Roman" w:hAnsi="Times New Roman" w:eastAsia="Malgun Gothic"/>
                <w:b/>
                <w:color w:val="17365D"/>
                <w:sz w:val="14"/>
              </w:rPr>
              <w:t>메모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paired manifest</w:t>
            </w:r>
          </w:p>
        </w:tc>
        <w:tc>
          <w:tcPr>
            <w:tcW w:type="dxa" w:w="33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63c07184429fa871…</w:t>
            </w:r>
          </w:p>
        </w:tc>
        <w:tc>
          <w:tcPr>
            <w:tcW w:type="dxa" w:w="35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eligible 13,592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experiment config</w:t>
            </w:r>
          </w:p>
        </w:tc>
        <w:tc>
          <w:tcPr>
            <w:tcW w:type="dxa" w:w="33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23812b7e0a94b62b…</w:t>
            </w:r>
          </w:p>
        </w:tc>
        <w:tc>
          <w:tcPr>
            <w:tcW w:type="dxa" w:w="35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12 epoch / 3 seeds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experiment source</w:t>
            </w:r>
          </w:p>
        </w:tc>
        <w:tc>
          <w:tcPr>
            <w:tcW w:type="dxa" w:w="33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54e48d8e7bd4f0b2…</w:t>
            </w:r>
          </w:p>
        </w:tc>
        <w:tc>
          <w:tcPr>
            <w:tcW w:type="dxa" w:w="35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2.13.0+cpu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aggregate</w:t>
            </w:r>
          </w:p>
        </w:tc>
        <w:tc>
          <w:tcPr>
            <w:tcW w:type="dxa" w:w="330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center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cfcb5bd3fb266f99…</w:t>
            </w:r>
          </w:p>
        </w:tc>
        <w:tc>
          <w:tcPr>
            <w:tcW w:type="dxa" w:w="3560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5" w:space="0" w:color="CCD3DC"/>
              <w:left w:val="single" w:sz="5" w:space="0" w:color="CCD3DC"/>
              <w:bottom w:val="single" w:sz="5" w:space="0" w:color="CCD3DC"/>
              <w:right w:val="single" w:sz="5" w:space="0" w:color="CCD3DC"/>
              <w:insideH w:val="single" w:sz="5" w:space="0" w:color="CCD3DC"/>
              <w:insideV w:val="single" w:sz="5" w:space="0" w:color="CCD3DC"/>
            </w:tcBorders>
            <w:vAlign w:val="center"/>
          </w:tcPr>
          <w:p>
            <w:pPr>
              <w:spacing w:after="0" w:line="233" w:lineRule="auto"/>
              <w:jc w:val="left"/>
            </w:pPr>
            <w:r>
              <w:rPr>
                <w:rFonts w:ascii="Times New Roman" w:hAnsi="Times New Roman" w:eastAsia="Malgun Gothic"/>
                <w:color w:val="1F2937"/>
                <w:sz w:val="14"/>
              </w:rPr>
              <w:t>6 runs</w:t>
            </w:r>
          </w:p>
        </w:tc>
      </w:tr>
    </w:tbl>
    <w:p>
      <w:pPr>
        <w:spacing w:after="10"/>
      </w:pPr>
    </w:p>
    <w:p>
      <w:pPr>
        <w:pStyle w:val="Heading1"/>
      </w:pPr>
      <w:r>
        <w:t>참고문헌</w:t>
      </w:r>
    </w:p>
    <w:p>
      <w:pPr>
        <w:spacing w:after="22" w:line="245" w:lineRule="auto"/>
        <w:ind w:left="245" w:hanging="245"/>
        <w:jc w:val="left"/>
      </w:pPr>
      <w:r>
        <w:rPr>
          <w:rFonts w:ascii="Times New Roman" w:hAnsi="Times New Roman" w:eastAsia="Malgun Gothic"/>
          <w:i w:val="0"/>
          <w:color w:val="1F2937"/>
          <w:sz w:val="14"/>
        </w:rPr>
        <w:t>[1] A. S. Bozkir, A. O. Cankaya, and M. Aydos, ‘Utilization and Comparison of Convolutional Neural Networks in Malware Recognition,’ SIU, 2019. doi:10.1109/SIU.2019.8806511.</w:t>
      </w:r>
    </w:p>
    <w:p>
      <w:pPr>
        <w:spacing w:after="22" w:line="245" w:lineRule="auto"/>
        <w:ind w:left="245" w:hanging="245"/>
        <w:jc w:val="left"/>
      </w:pPr>
      <w:r>
        <w:rPr>
          <w:rFonts w:ascii="Times New Roman" w:hAnsi="Times New Roman" w:eastAsia="Malgun Gothic"/>
          <w:i w:val="0"/>
          <w:color w:val="1F2937"/>
          <w:sz w:val="14"/>
        </w:rPr>
        <w:t>[2] D. T. Uysal, P. D. Yoo, K. Taha, C. Y. Yeun, and E. Damiani, ‘A multi-label visualisation approach for malware behaviour analysis,’ Scientific Reports 15, 37979, 2025. doi:10.1038/s41598-025-21848-z.</w:t>
      </w:r>
    </w:p>
    <w:p>
      <w:pPr>
        <w:spacing w:after="22" w:line="245" w:lineRule="auto"/>
        <w:ind w:left="245" w:hanging="245"/>
        <w:jc w:val="left"/>
      </w:pPr>
      <w:r>
        <w:rPr>
          <w:rFonts w:ascii="Times New Roman" w:hAnsi="Times New Roman" w:eastAsia="Malgun Gothic"/>
          <w:i w:val="0"/>
          <w:color w:val="1F2937"/>
          <w:sz w:val="14"/>
        </w:rPr>
        <w:t>[3] dtuuba, DECODE—DEep Classification Of Dynamic Exploits, GitHub repository, revision e6a7aaf99dd8a80d0319416ff3b980887c754fee, accessed 2026-08-29.</w:t>
      </w:r>
    </w:p>
    <w:p>
      <w:pPr>
        <w:spacing w:after="22" w:line="245" w:lineRule="auto"/>
        <w:ind w:left="245" w:hanging="245"/>
        <w:jc w:val="left"/>
      </w:pPr>
      <w:r>
        <w:rPr>
          <w:rFonts w:ascii="Times New Roman" w:hAnsi="Times New Roman" w:eastAsia="Malgun Gothic"/>
          <w:i w:val="0"/>
          <w:color w:val="1F2937"/>
          <w:sz w:val="14"/>
        </w:rPr>
        <w:t>[4] Y. Gal and Z. Ghahramani, ‘Dropout as a Bayesian Approximation: Representing Model Uncertainty in Deep Learning,’ PMLR 48, pp. 1050–1059, 2016.</w:t>
      </w:r>
    </w:p>
    <w:p>
      <w:pPr>
        <w:spacing w:after="22" w:line="245" w:lineRule="auto"/>
        <w:ind w:left="245" w:hanging="245"/>
        <w:jc w:val="left"/>
      </w:pPr>
      <w:r>
        <w:rPr>
          <w:rFonts w:ascii="Times New Roman" w:hAnsi="Times New Roman" w:eastAsia="Malgun Gothic"/>
          <w:i w:val="0"/>
          <w:color w:val="1F2937"/>
          <w:sz w:val="14"/>
        </w:rPr>
        <w:t>[5] Y. Wen, K. Zhang, Z. Li, and Y. Qiao, ‘A Discriminative Feature Learning Approach for Deep Face Recognition,’ ECCV, pp. 499–515, 2016. doi:10.1007/978-3-319-46478-7_31.</w:t>
      </w:r>
    </w:p>
    <w:p>
      <w:pPr>
        <w:spacing w:after="22" w:line="245" w:lineRule="auto"/>
        <w:ind w:left="245" w:hanging="245"/>
        <w:jc w:val="left"/>
      </w:pPr>
      <w:r>
        <w:rPr>
          <w:rFonts w:ascii="Times New Roman" w:hAnsi="Times New Roman" w:eastAsia="Malgun Gothic"/>
          <w:i w:val="0"/>
          <w:color w:val="1F2937"/>
          <w:sz w:val="14"/>
        </w:rPr>
        <w:t>[6] C. Guo, G. Pleiss, Y. Sun, and K. Q. Weinberger, ‘On Calibration of Modern Neural Networks,’ PMLR 70, pp. 1321–1330, 2017.</w:t>
      </w:r>
    </w:p>
    <w:p>
      <w:pPr>
        <w:spacing w:after="22" w:line="245" w:lineRule="auto"/>
        <w:ind w:left="245" w:hanging="245"/>
        <w:jc w:val="left"/>
      </w:pPr>
      <w:r>
        <w:rPr>
          <w:rFonts w:ascii="Times New Roman" w:hAnsi="Times New Roman" w:eastAsia="Malgun Gothic"/>
          <w:i w:val="0"/>
          <w:color w:val="1F2937"/>
          <w:sz w:val="14"/>
        </w:rPr>
        <w:t>[7] UA-SAHI-MAL Experiment Audit Report (Korean), user-provided internal audit document, 2026-08-29.</w:t>
      </w:r>
    </w:p>
    <w:p>
      <w:pPr>
        <w:spacing w:after="0" w:line="245" w:lineRule="auto"/>
        <w:jc w:val="left"/>
      </w:pPr>
      <w:r>
        <w:rPr>
          <w:rFonts w:ascii="Times New Roman" w:hAnsi="Times New Roman" w:eastAsia="Malgun Gothic"/>
          <w:i/>
          <w:color w:val="1F2937"/>
          <w:sz w:val="13"/>
        </w:rPr>
        <w:t>문서 디자인: standard_business_brief preset 기반, academic_compact_body 명시적 override(8.4 pt, 단일 열, Letter 1-inch margin).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eastAsia="Malgun Gothic"/>
        <w:color w:val="5B6573"/>
        <w:sz w:val="15"/>
      </w:rPr>
      <w:t xml:space="preserve">MaleVis 정적 분류 전이 연구  ·  </w:t>
    </w:r>
    <w:r>
      <w:rPr>
        <w:rFonts w:ascii="Times New Roman" w:hAnsi="Times New Roman" w:eastAsia="Malgun Gothic"/>
        <w:color w:val="5B6573"/>
        <w:sz w:val="15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eastAsia="Malgun Gothic"/>
        <w:color w:val="5B6573"/>
        <w:sz w:val="15"/>
      </w:rPr>
      <w:t xml:space="preserve">익명 심사용 연구 초안  ·  </w:t>
    </w:r>
    <w:r>
      <w:rPr>
        <w:rFonts w:ascii="Times New Roman" w:hAnsi="Times New Roman" w:eastAsia="Malgun Gothic"/>
        <w:color w:val="5B6573"/>
        <w:sz w:val="15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eastAsia="Malgun Gothic"/>
        <w:color w:val="5B6573"/>
        <w:sz w:val="15"/>
      </w:rPr>
      <w:t>MaleVis DECODE-Transfer  |  Reproducibility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5" w:lineRule="auto"/>
    </w:pPr>
    <w:rPr>
      <w:rFonts w:ascii="Times New Roman" w:hAnsi="Times New Roman" w:eastAsia="Malgun Gothic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Times New Roman" w:hAnsi="Times New Roman" w:eastAsia="Malgun Gothic"/>
      <w:b/>
      <w:bCs/>
      <w:color w:val="17365D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0" w:after="28"/>
      <w:outlineLvl w:val="1"/>
    </w:pPr>
    <w:rPr>
      <w:rFonts w:asciiTheme="majorHAnsi" w:eastAsiaTheme="majorEastAsia" w:hAnsiTheme="majorHAnsi" w:cstheme="majorBidi" w:ascii="Times New Roman" w:hAnsi="Times New Roman" w:eastAsia="Malgun Gothic"/>
      <w:b/>
      <w:bCs/>
      <w:color w:val="2E74B5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50" w:after="20"/>
      <w:outlineLvl w:val="2"/>
    </w:pPr>
    <w:rPr>
      <w:rFonts w:asciiTheme="majorHAnsi" w:eastAsiaTheme="majorEastAsia" w:hAnsiTheme="majorHAnsi" w:cstheme="majorBidi" w:ascii="Times New Roman" w:hAnsi="Times New Roman" w:eastAsia="Malgun Gothic"/>
      <w:b/>
      <w:bCs/>
      <w:color w:val="2E74B5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동적 악성코드 시각화 아이디어의 정적 MaleVis 전이</dc:title>
  <dc:subject>누수 통제, 다중 시드, MC dropout을 포함한 재현 연구</dc:subject>
  <dc:creator>Anonymous</dc:creator>
  <cp:keywords>MaleVis, DECODE, malware visualization, center loss, MC dropout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