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0"/>
      </w:pPr>
      <w:r>
        <w:rPr>
          <w:rFonts w:ascii="Arial" w:hAnsi="Arial"/>
          <w:rFonts w:ascii="Arial" w:hAnsi="Arial" w:eastAsia="Microsoft YaHei"/>
          <w:b/>
          <w:i w:val="0"/>
          <w:color w:val="2F5597"/>
          <w:sz w:val="22"/>
        </w:rPr>
        <w:t>FAST 2026 顶会论文深度解构与技术背书</w:t>
      </w:r>
    </w:p>
    <w:p>
      <w:pPr>
        <w:spacing w:before="720" w:after="320"/>
      </w:pPr>
      <w:r>
        <w:rPr>
          <w:rFonts w:ascii="Arial" w:hAnsi="Arial"/>
          <w:rFonts w:ascii="Arial" w:hAnsi="Arial" w:eastAsia="Microsoft YaHei"/>
          <w:b/>
          <w:i w:val="0"/>
          <w:color w:val="17365D"/>
          <w:sz w:val="40"/>
        </w:rPr>
        <w:t>Bidaw (FAST '26)：计算-存储双向感知的高效交互式大模型 KVCache 分层管理深度解读、技术启发与立项背书</w:t>
      </w:r>
    </w:p>
    <w:tbl>
      <w:tblPr>
        <w:tblW w:type="auto" w:w="0"/>
        <w:jc w:val="center"/>
        <w:tblLayout w:type="fixed"/>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4513"/>
        <w:gridCol w:w="4513"/>
      </w:tblGrid>
      <w:tr>
        <w:tc>
          <w:tcPr>
            <w:tcW w:type="dxa" w:w="2154"/>
            <w:shd w:fill="EEF4F9"/>
            <w:tcMar>
              <w:top w:w="80" w:type="dxa"/>
              <w:bottom w:w="80" w:type="dxa"/>
              <w:left w:w="120" w:type="dxa"/>
              <w:right w:w="120" w:type="dxa"/>
            </w:tcMar>
          </w:tcPr>
          <w:p>
            <w:r>
              <w:rPr>
                <w:rFonts w:ascii="Arial" w:hAnsi="Arial"/>
                <w:rFonts w:ascii="Arial" w:hAnsi="Arial" w:eastAsia="Microsoft YaHei"/>
                <w:b/>
                <w:i w:val="0"/>
                <w:color w:val="17365D"/>
                <w:sz w:val="19"/>
              </w:rPr>
              <w:t>论文题目</w:t>
            </w:r>
          </w:p>
        </w:tc>
        <w:tc>
          <w:tcPr>
            <w:tcW w:type="dxa" w:w="6860"/>
            <w:tcMar>
              <w:top w:w="80" w:type="dxa"/>
              <w:bottom w:w="80" w:type="dxa"/>
              <w:left w:w="120" w:type="dxa"/>
              <w:right w:w="120" w:type="dxa"/>
            </w:tcMar>
          </w:tcPr>
          <w:p>
            <w:r>
              <w:rPr>
                <w:rFonts w:ascii="Arial" w:hAnsi="Arial"/>
                <w:rFonts w:ascii="Arial" w:hAnsi="Arial" w:eastAsia="SimSun"/>
                <w:b w:val="0"/>
                <w:i w:val="0"/>
                <w:color w:val="1F1F1F"/>
                <w:sz w:val="19"/>
              </w:rPr>
              <w:t>Bidaw: Enhancing Key–Value Caching for Interactive LLM Serving via Bidirectional Computation–Storage Awareness</w:t>
            </w:r>
          </w:p>
        </w:tc>
      </w:tr>
      <w:tr>
        <w:tc>
          <w:tcPr>
            <w:tcW w:type="dxa" w:w="2154"/>
            <w:shd w:fill="EEF4F9"/>
            <w:tcMar>
              <w:top w:w="80" w:type="dxa"/>
              <w:bottom w:w="80" w:type="dxa"/>
              <w:left w:w="120" w:type="dxa"/>
              <w:right w:w="120" w:type="dxa"/>
            </w:tcMar>
          </w:tcPr>
          <w:p>
            <w:r>
              <w:rPr>
                <w:rFonts w:ascii="Arial" w:hAnsi="Arial"/>
                <w:rFonts w:ascii="Arial" w:hAnsi="Arial" w:eastAsia="Microsoft YaHei"/>
                <w:b/>
                <w:i w:val="0"/>
                <w:color w:val="17365D"/>
                <w:sz w:val="19"/>
              </w:rPr>
              <w:t>录用会议</w:t>
            </w:r>
          </w:p>
        </w:tc>
        <w:tc>
          <w:tcPr>
            <w:tcW w:type="dxa" w:w="6860"/>
            <w:tcMar>
              <w:top w:w="80" w:type="dxa"/>
              <w:bottom w:w="80" w:type="dxa"/>
              <w:left w:w="120" w:type="dxa"/>
              <w:right w:w="120" w:type="dxa"/>
            </w:tcMar>
          </w:tcPr>
          <w:p>
            <w:r>
              <w:rPr>
                <w:rFonts w:ascii="Arial" w:hAnsi="Arial"/>
                <w:rFonts w:ascii="Arial" w:hAnsi="Arial" w:eastAsia="SimSun"/>
                <w:b w:val="0"/>
                <w:i w:val="0"/>
                <w:color w:val="1F1F1F"/>
                <w:sz w:val="19"/>
              </w:rPr>
              <w:t>USENIX FAST 2026 (24th USENIX Conference on File and Storage Technologies)</w:t>
            </w:r>
          </w:p>
        </w:tc>
      </w:tr>
      <w:tr>
        <w:tc>
          <w:tcPr>
            <w:tcW w:type="dxa" w:w="2154"/>
            <w:shd w:fill="EEF4F9"/>
            <w:tcMar>
              <w:top w:w="80" w:type="dxa"/>
              <w:bottom w:w="80" w:type="dxa"/>
              <w:left w:w="120" w:type="dxa"/>
              <w:right w:w="120" w:type="dxa"/>
            </w:tcMar>
          </w:tcPr>
          <w:p>
            <w:r>
              <w:rPr>
                <w:rFonts w:ascii="Arial" w:hAnsi="Arial"/>
                <w:rFonts w:ascii="Arial" w:hAnsi="Arial" w:eastAsia="Microsoft YaHei"/>
                <w:b/>
                <w:i w:val="0"/>
                <w:color w:val="17365D"/>
                <w:sz w:val="19"/>
              </w:rPr>
              <w:t>研究机构</w:t>
            </w:r>
          </w:p>
        </w:tc>
        <w:tc>
          <w:tcPr>
            <w:tcW w:type="dxa" w:w="6860"/>
            <w:tcMar>
              <w:top w:w="80" w:type="dxa"/>
              <w:bottom w:w="80" w:type="dxa"/>
              <w:left w:w="120" w:type="dxa"/>
              <w:right w:w="120" w:type="dxa"/>
            </w:tcMar>
          </w:tcPr>
          <w:p>
            <w:r>
              <w:rPr>
                <w:rFonts w:ascii="Arial" w:hAnsi="Arial"/>
                <w:rFonts w:ascii="Arial" w:hAnsi="Arial" w:eastAsia="SimSun"/>
                <w:b w:val="0"/>
                <w:i w:val="0"/>
                <w:color w:val="1F1F1F"/>
                <w:sz w:val="19"/>
              </w:rPr>
              <w:t>清华大学计算机系、中国地质大学（北京）、中国电信全渠道运营中心</w:t>
            </w:r>
          </w:p>
        </w:tc>
      </w:tr>
      <w:tr>
        <w:tc>
          <w:tcPr>
            <w:tcW w:type="dxa" w:w="2154"/>
            <w:shd w:fill="EEF4F9"/>
            <w:tcMar>
              <w:top w:w="80" w:type="dxa"/>
              <w:bottom w:w="80" w:type="dxa"/>
              <w:left w:w="120" w:type="dxa"/>
              <w:right w:w="120" w:type="dxa"/>
            </w:tcMar>
          </w:tcPr>
          <w:p>
            <w:r>
              <w:rPr>
                <w:rFonts w:ascii="Arial" w:hAnsi="Arial"/>
                <w:rFonts w:ascii="Arial" w:hAnsi="Arial" w:eastAsia="Microsoft YaHei"/>
                <w:b/>
                <w:i w:val="0"/>
                <w:color w:val="17365D"/>
                <w:sz w:val="19"/>
              </w:rPr>
              <w:t>核心定位</w:t>
            </w:r>
          </w:p>
        </w:tc>
        <w:tc>
          <w:tcPr>
            <w:tcW w:type="dxa" w:w="6860"/>
            <w:tcMar>
              <w:top w:w="80" w:type="dxa"/>
              <w:bottom w:w="80" w:type="dxa"/>
              <w:left w:w="120" w:type="dxa"/>
              <w:right w:w="120" w:type="dxa"/>
            </w:tcMar>
          </w:tcPr>
          <w:p>
            <w:r>
              <w:rPr>
                <w:rFonts w:ascii="Arial" w:hAnsi="Arial"/>
                <w:rFonts w:ascii="Arial" w:hAnsi="Arial" w:eastAsia="SimSun"/>
                <w:b w:val="0"/>
                <w:i w:val="0"/>
                <w:color w:val="1F1F1F"/>
                <w:sz w:val="19"/>
              </w:rPr>
              <w:t>计算-存储双向感知的高效交互式大模型 KVCache 分层管理与调度系统</w:t>
            </w:r>
          </w:p>
        </w:tc>
      </w:tr>
      <w:tr>
        <w:tc>
          <w:tcPr>
            <w:tcW w:type="dxa" w:w="2154"/>
            <w:shd w:fill="EEF4F9"/>
            <w:tcMar>
              <w:top w:w="80" w:type="dxa"/>
              <w:bottom w:w="80" w:type="dxa"/>
              <w:left w:w="120" w:type="dxa"/>
              <w:right w:w="120" w:type="dxa"/>
            </w:tcMar>
          </w:tcPr>
          <w:p>
            <w:r>
              <w:rPr>
                <w:rFonts w:ascii="Arial" w:hAnsi="Arial"/>
                <w:rFonts w:ascii="Arial" w:hAnsi="Arial" w:eastAsia="Microsoft YaHei"/>
                <w:b/>
                <w:i w:val="0"/>
                <w:color w:val="17365D"/>
                <w:sz w:val="19"/>
              </w:rPr>
              <w:t>对应底座</w:t>
            </w:r>
          </w:p>
        </w:tc>
        <w:tc>
          <w:tcPr>
            <w:tcW w:type="dxa" w:w="6860"/>
            <w:tcMar>
              <w:top w:w="80" w:type="dxa"/>
              <w:bottom w:w="80" w:type="dxa"/>
              <w:left w:w="120" w:type="dxa"/>
              <w:right w:w="120" w:type="dxa"/>
            </w:tcMar>
          </w:tcPr>
          <w:p>
            <w:r>
              <w:rPr>
                <w:rFonts w:ascii="Arial" w:hAnsi="Arial"/>
                <w:rFonts w:ascii="Arial" w:hAnsi="Arial" w:eastAsia="SimSun"/>
                <w:b w:val="0"/>
                <w:i w:val="0"/>
                <w:color w:val="1F1F1F"/>
                <w:sz w:val="19"/>
              </w:rPr>
              <w:t>面向国产 AI 硬件的统一异构 KVCache 存储与调度底座（L3 智能调度引擎 / L4 多介质分层存储）</w:t>
            </w:r>
          </w:p>
        </w:tc>
      </w:tr>
      <w:tr>
        <w:tc>
          <w:tcPr>
            <w:tcW w:type="dxa" w:w="2154"/>
            <w:shd w:fill="EEF4F9"/>
            <w:tcMar>
              <w:top w:w="80" w:type="dxa"/>
              <w:bottom w:w="80" w:type="dxa"/>
              <w:left w:w="120" w:type="dxa"/>
              <w:right w:w="120" w:type="dxa"/>
            </w:tcMar>
          </w:tcPr>
          <w:p>
            <w:r>
              <w:rPr>
                <w:rFonts w:ascii="Arial" w:hAnsi="Arial"/>
                <w:rFonts w:ascii="Arial" w:hAnsi="Arial" w:eastAsia="Microsoft YaHei"/>
                <w:b/>
                <w:i w:val="0"/>
                <w:color w:val="17365D"/>
                <w:sz w:val="19"/>
              </w:rPr>
              <w:t>支撑任务</w:t>
            </w:r>
          </w:p>
        </w:tc>
        <w:tc>
          <w:tcPr>
            <w:tcW w:type="dxa" w:w="6860"/>
            <w:tcMar>
              <w:top w:w="80" w:type="dxa"/>
              <w:bottom w:w="80" w:type="dxa"/>
              <w:left w:w="120" w:type="dxa"/>
              <w:right w:w="120" w:type="dxa"/>
            </w:tcMar>
          </w:tcPr>
          <w:p>
            <w:r>
              <w:rPr>
                <w:rFonts w:ascii="Arial" w:hAnsi="Arial"/>
                <w:rFonts w:ascii="Arial" w:hAnsi="Arial" w:eastAsia="SimSun"/>
                <w:b w:val="0"/>
                <w:i w:val="0"/>
                <w:color w:val="1F1F1F"/>
                <w:sz w:val="19"/>
              </w:rPr>
              <w:t>动态选路决策引擎（QueryPlan）/ 多介质分层扩容（NVMe SSD 直达）/ 避免队头阻塞调度</w:t>
            </w:r>
          </w:p>
        </w:tc>
      </w:tr>
      <w:tr>
        <w:tc>
          <w:tcPr>
            <w:tcW w:type="dxa" w:w="2154"/>
            <w:shd w:fill="EEF4F9"/>
            <w:tcMar>
              <w:top w:w="80" w:type="dxa"/>
              <w:bottom w:w="80" w:type="dxa"/>
              <w:left w:w="120" w:type="dxa"/>
              <w:right w:w="120" w:type="dxa"/>
            </w:tcMar>
          </w:tcPr>
          <w:p>
            <w:r>
              <w:rPr>
                <w:rFonts w:ascii="Arial" w:hAnsi="Arial"/>
                <w:rFonts w:ascii="Arial" w:hAnsi="Arial" w:eastAsia="Microsoft YaHei"/>
                <w:b/>
                <w:i w:val="0"/>
                <w:color w:val="17365D"/>
                <w:sz w:val="19"/>
              </w:rPr>
              <w:t>合规基准</w:t>
            </w:r>
          </w:p>
        </w:tc>
        <w:tc>
          <w:tcPr>
            <w:tcW w:type="dxa" w:w="6860"/>
            <w:tcMar>
              <w:top w:w="80" w:type="dxa"/>
              <w:bottom w:w="80" w:type="dxa"/>
              <w:left w:w="120" w:type="dxa"/>
              <w:right w:w="120" w:type="dxa"/>
            </w:tcMar>
          </w:tcPr>
          <w:p>
            <w:r>
              <w:rPr>
                <w:rFonts w:ascii="Arial" w:hAnsi="Arial"/>
                <w:rFonts w:ascii="Arial" w:hAnsi="Arial" w:eastAsia="SimSun"/>
                <w:b w:val="0"/>
                <w:i w:val="0"/>
                <w:color w:val="1F1F1F"/>
                <w:sz w:val="19"/>
              </w:rPr>
              <w:t>严格遵循项目语言风格规范 (AGENTS.md)，零杜撰事实，恪守第一性原理硬核辩驳</w:t>
            </w:r>
          </w:p>
        </w:tc>
      </w:tr>
    </w:tbl>
    <w:p>
      <w:pPr>
        <w:spacing w:before="400" w:after="240" w:line="324" w:lineRule="auto"/>
      </w:pPr>
      <w:r>
        <w:rPr>
          <w:rFonts w:ascii="Arial" w:hAnsi="Arial"/>
          <w:rFonts w:ascii="Arial" w:hAnsi="Arial" w:eastAsia="SimSun"/>
          <w:b w:val="0"/>
          <w:i w:val="0"/>
          <w:color w:val="1F1F1F"/>
          <w:sz w:val="20"/>
        </w:rPr>
        <w:t>本技术解构报告立足计算机体系结构与分布式存储系统第一性原理，系统剖析论文核心物理瓶颈、架构机理与实测基准，并为面向国产 AI 硬件的统一异构 KVCache 存储与调度底座研发提供严密的技术启发与立项背书。</w:t>
      </w:r>
    </w:p>
    <w:p>
      <w:pPr>
        <w:sectPr>
          <w:pgSz w:w="11906" w:h="16838"/>
          <w:pgMar w:top="1417" w:right="1440" w:bottom="1304" w:left="1440" w:header="720" w:footer="720" w:gutter="0"/>
          <w:cols w:space="720"/>
          <w:titlePg/>
          <w:docGrid w:linePitch="360"/>
        </w:sectPr>
      </w:pPr>
    </w:p>
    <w:p>
      <w:pPr>
        <w:spacing w:before="280" w:after="120" w:line="276" w:lineRule="auto"/>
      </w:pPr>
      <w:r>
        <w:rPr>
          <w:rFonts w:ascii="Arial" w:hAnsi="Arial"/>
          <w:rFonts w:ascii="Arial" w:hAnsi="Arial" w:eastAsia="Microsoft YaHei"/>
          <w:b/>
          <w:i w:val="0"/>
          <w:color w:val="17365D"/>
          <w:sz w:val="27"/>
        </w:rPr>
        <w:t>一、 论文基本信息与研究背景</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论文题目</w:t>
      </w:r>
      <w:r>
        <w:rPr>
          <w:rFonts w:ascii="Arial" w:hAnsi="Arial"/>
          <w:rFonts w:ascii="Arial" w:hAnsi="Arial" w:eastAsia="SimSun"/>
          <w:b w:val="0"/>
          <w:i w:val="0"/>
          <w:color w:val="1F1F1F"/>
          <w:sz w:val="20"/>
        </w:rPr>
        <w:t>：*Bidaw: Enhancing Key–Value Caching for Interactive LLM Serving via Bidirectional Computation–Storage Awareness*</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作者与机构</w:t>
      </w:r>
      <w:r>
        <w:rPr>
          <w:rFonts w:ascii="Arial" w:hAnsi="Arial"/>
          <w:rFonts w:ascii="Arial" w:hAnsi="Arial" w:eastAsia="SimSun"/>
          <w:b w:val="0"/>
          <w:i w:val="0"/>
          <w:color w:val="1F1F1F"/>
          <w:sz w:val="20"/>
        </w:rPr>
        <w:t>：Shipeng Hu, Guangyan Zhang, Yuqi Zhou, Yaya Wei, Ziyan Zhong, Jike Chen（清华大学计算机系，中国地质大学（北京），中国电信全渠道运营中心）</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发表会议</w:t>
      </w:r>
      <w:r>
        <w:rPr>
          <w:rFonts w:ascii="Arial" w:hAnsi="Arial"/>
          <w:rFonts w:ascii="Arial" w:hAnsi="Arial" w:eastAsia="SimSun"/>
          <w:b w:val="0"/>
          <w:i w:val="0"/>
          <w:color w:val="1F1F1F"/>
          <w:sz w:val="20"/>
        </w:rPr>
        <w:t>：USENIX FAST 2026（第 24 届文件与存储技术顶会，Santa Clara, CA, USA）</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原文链接</w:t>
      </w:r>
      <w:r>
        <w:rPr>
          <w:rFonts w:ascii="Arial" w:hAnsi="Arial"/>
          <w:rFonts w:ascii="Arial" w:hAnsi="Arial" w:eastAsia="SimSun"/>
          <w:b w:val="0"/>
          <w:i w:val="0"/>
          <w:color w:val="1F1F1F"/>
          <w:sz w:val="20"/>
        </w:rPr>
        <w:t>：同目录 PDF（[FAST 2026] Bidaw Enhancing Key-Value Caching for Interactive LLM Serving via Bidirectional Computation–Storage Awareness.pdf）</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核心专有名词界定</w:t>
      </w:r>
      <w:r>
        <w:rPr>
          <w:rFonts w:ascii="Arial" w:hAnsi="Arial"/>
          <w:rFonts w:ascii="Arial" w:hAnsi="Arial" w:eastAsia="SimSun"/>
          <w:b w:val="0"/>
          <w:i w:val="0"/>
          <w:color w:val="1F1F1F"/>
          <w:sz w:val="20"/>
        </w:rPr>
        <w:t>：</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KVCache</w:t>
      </w:r>
      <w:r>
        <w:rPr>
          <w:rFonts w:ascii="Arial" w:hAnsi="Arial"/>
          <w:rFonts w:ascii="Arial" w:hAnsi="Arial" w:eastAsia="SimSun"/>
          <w:b w:val="0"/>
          <w:i w:val="0"/>
          <w:color w:val="1F1F1F"/>
          <w:sz w:val="20"/>
        </w:rPr>
        <w:t>（大模型注意力键值缓存）：大模型自回归生成过程中缓存的历史 Key 与 Value 激活状态张量，用于避免后续 Token 生成时重复计算注意力；</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TTFT</w:t>
      </w:r>
      <w:r>
        <w:rPr>
          <w:rFonts w:ascii="Arial" w:hAnsi="Arial"/>
          <w:rFonts w:ascii="Arial" w:hAnsi="Arial" w:eastAsia="SimSun"/>
          <w:b w:val="0"/>
          <w:i w:val="0"/>
          <w:color w:val="1F1F1F"/>
          <w:sz w:val="20"/>
        </w:rPr>
        <w:t>（Time To First Token，首字生成延迟 / 首 Token 响应时间）：从用户发起请求到生成第一个 Token 的耗时；</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TPOT</w:t>
      </w:r>
      <w:r>
        <w:rPr>
          <w:rFonts w:ascii="Arial" w:hAnsi="Arial"/>
          <w:rFonts w:ascii="Arial" w:hAnsi="Arial" w:eastAsia="SimSun"/>
          <w:b w:val="0"/>
          <w:i w:val="0"/>
          <w:color w:val="1F1F1F"/>
          <w:sz w:val="20"/>
        </w:rPr>
        <w:t>（Time Per Output Token，每个输出 Token 的生成耗时 / 单字生成延迟）：解码阶段逐字生成的平均时间；</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分层存储与分层块分配器</w:t>
      </w:r>
      <w:r>
        <w:rPr>
          <w:rFonts w:ascii="Arial" w:hAnsi="Arial"/>
          <w:rFonts w:ascii="Arial" w:hAnsi="Arial" w:eastAsia="SimSun"/>
          <w:b w:val="0"/>
          <w:i w:val="0"/>
          <w:color w:val="1F1F1F"/>
          <w:sz w:val="20"/>
        </w:rPr>
        <w:t>（Tiering / TierBlockAllocator）：在有限性能层（如 GPU HBM、Host DRAM）与大容量介质（如 NVMe/SATA SSD）之间分级存放 KV 数据，管理物理存储块分配的技术；</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队头阻塞</w:t>
      </w:r>
      <w:r>
        <w:rPr>
          <w:rFonts w:ascii="Arial" w:hAnsi="Arial"/>
          <w:rFonts w:ascii="Arial" w:hAnsi="Arial" w:eastAsia="SimSun"/>
          <w:b w:val="0"/>
          <w:i w:val="0"/>
          <w:color w:val="1F1F1F"/>
          <w:sz w:val="20"/>
        </w:rPr>
        <w:t>（Head-of-Line Blocking）：在先进先出（FCFS）排队机制下，前序因慢速 I/O 未就绪的请求阻塞后续已就绪请求调度执行的物理现象；</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加权重用距离</w:t>
      </w:r>
      <w:r>
        <w:rPr>
          <w:rFonts w:ascii="Arial" w:hAnsi="Arial"/>
          <w:rFonts w:ascii="Arial" w:hAnsi="Arial" w:eastAsia="SimSun"/>
          <w:b w:val="0"/>
          <w:i w:val="0"/>
          <w:color w:val="1F1F1F"/>
          <w:sz w:val="20"/>
        </w:rPr>
        <w:t>（Weighted Reuse Distance）：在两次连续访问同一用户 KV 之间，系统访问的其他所有唯一 KV 的总数据量（GB）；</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幽灵缓存</w:t>
      </w:r>
      <w:r>
        <w:rPr>
          <w:rFonts w:ascii="Arial" w:hAnsi="Arial"/>
          <w:rFonts w:ascii="Arial" w:hAnsi="Arial" w:eastAsia="SimSun"/>
          <w:b w:val="0"/>
          <w:i w:val="0"/>
          <w:color w:val="1F1F1F"/>
          <w:sz w:val="20"/>
        </w:rPr>
        <w:t>（Ghost Cache）：在后台利用历史完整窗口回放 Belady 理论最优淘汰算法，用于在线动态校准各重用距离桶命中率的辅助统计结构；</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最高响应比优先</w:t>
      </w:r>
      <w:r>
        <w:rPr>
          <w:rFonts w:ascii="Arial" w:hAnsi="Arial"/>
          <w:rFonts w:ascii="Arial" w:hAnsi="Arial" w:eastAsia="SimSun"/>
          <w:b w:val="0"/>
          <w:i w:val="0"/>
          <w:color w:val="1F1F1F"/>
          <w:sz w:val="20"/>
        </w:rPr>
        <w:t>（HRRN，Highest Response Ratio Next）：兼顾作业等待时间与服务时间的经典调度算法，优先级计算公式为 $1 + \frac{等待时间}{服务时间}$；</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MHA 与 GQA</w:t>
      </w:r>
      <w:r>
        <w:rPr>
          <w:rFonts w:ascii="Arial" w:hAnsi="Arial"/>
          <w:rFonts w:ascii="Arial" w:hAnsi="Arial" w:eastAsia="SimSun"/>
          <w:b w:val="0"/>
          <w:i w:val="0"/>
          <w:color w:val="1F1F1F"/>
          <w:sz w:val="20"/>
        </w:rPr>
        <w:t>（Multi-Head Attention 与 Grouped-Query Attention）：多头注意力机制与分组查询注意力机制。</w:t>
      </w:r>
    </w:p>
    <w:p>
      <w:pPr>
        <w:spacing w:before="200" w:after="80" w:line="276" w:lineRule="auto"/>
      </w:pPr>
      <w:r>
        <w:rPr>
          <w:rFonts w:ascii="Arial" w:hAnsi="Arial"/>
          <w:rFonts w:ascii="Arial" w:hAnsi="Arial" w:eastAsia="Microsoft YaHei"/>
          <w:b/>
          <w:i w:val="0"/>
          <w:color w:val="2F5597"/>
          <w:sz w:val="23"/>
        </w:rPr>
        <w:t>1.1 面临的体系结构物理矛盾</w:t>
      </w:r>
    </w:p>
    <w:p>
      <w:pPr>
        <w:spacing w:before="0" w:after="100" w:line="336" w:lineRule="auto"/>
      </w:pPr>
      <w:r>
        <w:rPr>
          <w:rFonts w:ascii="Arial" w:hAnsi="Arial"/>
          <w:rFonts w:ascii="Arial" w:hAnsi="Arial" w:eastAsia="SimSun"/>
          <w:b w:val="0"/>
          <w:i w:val="0"/>
          <w:color w:val="1F1F1F"/>
          <w:sz w:val="20"/>
        </w:rPr>
        <w:t>在个人助理、编程助手、多轮客服等典型的交互式大模型服务中，用户请求呈现出持续多轮（Multi-round）对话的物理特征。清华大学团队在深入分析包含超过 100 万轮对话的真实工业级负载轨迹（平均每个会话包含 22.4 轮）后，揭示了一组严峻的体系结构物理矛盾：</w:t>
      </w:r>
    </w:p>
    <w:p>
      <w:pPr>
        <w:spacing w:before="30" w:after="60"/>
        <w:ind w:left="340"/>
      </w:pPr>
      <w:r>
        <w:rPr>
          <w:rFonts w:ascii="Arial" w:hAnsi="Arial"/>
          <w:rFonts w:ascii="Arial" w:hAnsi="Arial" w:eastAsia="Arial"/>
          <w:b/>
          <w:i w:val="0"/>
          <w:color w:val="17365D"/>
          <w:sz w:val="20"/>
        </w:rPr>
        <w:t xml:space="preserve">1. </w:t>
      </w:r>
      <w:r>
        <w:rPr>
          <w:rFonts w:ascii="Arial" w:hAnsi="Arial"/>
          <w:rFonts w:ascii="Arial" w:hAnsi="Arial" w:eastAsia="SimSun"/>
          <w:b/>
          <w:i w:val="0"/>
          <w:color w:val="1F1F1F"/>
          <w:sz w:val="20"/>
        </w:rPr>
        <w:t>历史丢弃导致的重算开销灾难</w:t>
      </w:r>
      <w:r>
        <w:rPr>
          <w:rFonts w:ascii="Arial" w:hAnsi="Arial"/>
          <w:rFonts w:ascii="Arial" w:hAnsi="Arial" w:eastAsia="SimSun"/>
          <w:b w:val="0"/>
          <w:i w:val="0"/>
          <w:color w:val="1F1F1F"/>
          <w:sz w:val="20"/>
        </w:rPr>
        <w:t>：若因为加速卡显存不足而直接丢弃前序轮次的历史 KV，后续轮次必须对长历史上下文执行重复的前缀重算。在真实负载中，</w:t>
      </w:r>
      <w:r>
        <w:rPr>
          <w:rFonts w:ascii="Arial" w:hAnsi="Arial"/>
          <w:rFonts w:ascii="Arial" w:hAnsi="Arial" w:eastAsia="SimSun"/>
          <w:b/>
          <w:i w:val="0"/>
          <w:color w:val="1F1F1F"/>
          <w:sz w:val="20"/>
        </w:rPr>
        <w:t>因丢弃历史 KV 引发的冗余 Prefill 计算量最高占据了系统总计算工作量的 93.1%</w:t>
      </w:r>
      <w:r>
        <w:rPr>
          <w:rFonts w:ascii="Arial" w:hAnsi="Arial"/>
          <w:rFonts w:ascii="Arial" w:hAnsi="Arial" w:eastAsia="SimSun"/>
          <w:b w:val="0"/>
          <w:i w:val="0"/>
          <w:color w:val="1F1F1F"/>
          <w:sz w:val="20"/>
        </w:rPr>
        <w:t>！</w:t>
      </w:r>
    </w:p>
    <w:p>
      <w:pPr>
        <w:spacing w:before="30" w:after="60"/>
        <w:ind w:left="340"/>
      </w:pPr>
      <w:r>
        <w:rPr>
          <w:rFonts w:ascii="Arial" w:hAnsi="Arial"/>
          <w:rFonts w:ascii="Arial" w:hAnsi="Arial" w:eastAsia="Arial"/>
          <w:b/>
          <w:i w:val="0"/>
          <w:color w:val="17365D"/>
          <w:sz w:val="20"/>
        </w:rPr>
        <w:t xml:space="preserve">2. </w:t>
      </w:r>
      <w:r>
        <w:rPr>
          <w:rFonts w:ascii="Arial" w:hAnsi="Arial"/>
          <w:rFonts w:ascii="Arial" w:hAnsi="Arial" w:eastAsia="SimSun"/>
          <w:b/>
          <w:i w:val="0"/>
          <w:color w:val="1F1F1F"/>
          <w:sz w:val="20"/>
        </w:rPr>
        <w:t>两层存储的介质带宽断崖与极高时延抖动</w:t>
      </w:r>
      <w:r>
        <w:rPr>
          <w:rFonts w:ascii="Arial" w:hAnsi="Arial"/>
          <w:rFonts w:ascii="Arial" w:hAnsi="Arial" w:eastAsia="SimSun"/>
          <w:b w:val="0"/>
          <w:i w:val="0"/>
          <w:color w:val="1F1F1F"/>
          <w:sz w:val="20"/>
        </w:rPr>
        <w:t>：虽然 GPU HBM 与 Host DRAM（性能层）速度极快，但容量受限且成本高昂；SSD（容量层）成本低廉且容量巨大，但带宽极为受限（实验环境 SATA SSD RAID 带宽仅 1.5 GB/s）。实测表明，在 OPT-13B、30 users/min 负载下，</w:t>
      </w:r>
      <w:r>
        <w:rPr>
          <w:rFonts w:ascii="Arial" w:hAnsi="Arial"/>
          <w:rFonts w:ascii="Arial" w:hAnsi="Arial" w:eastAsia="SimSun"/>
          <w:b/>
          <w:i w:val="0"/>
          <w:color w:val="1F1F1F"/>
          <w:sz w:val="20"/>
        </w:rPr>
        <w:t>高达 80% 的 KV 访问加权重用距离超过了 200 GB 的性能层物理容量上限</w:t>
      </w:r>
      <w:r>
        <w:rPr>
          <w:rFonts w:ascii="Arial" w:hAnsi="Arial"/>
          <w:rFonts w:ascii="Arial" w:hAnsi="Arial" w:eastAsia="SimSun"/>
          <w:b w:val="0"/>
          <w:i w:val="0"/>
          <w:color w:val="1F1F1F"/>
          <w:sz w:val="20"/>
        </w:rPr>
        <w:t xml:space="preserve">；更严重的是，连续到达请求的 KV 加载时延变异系数（CV）普遍高于 </w:t>
      </w:r>
      <w:r>
        <w:rPr>
          <w:rFonts w:ascii="Arial" w:hAnsi="Arial"/>
          <w:rFonts w:ascii="Arial" w:hAnsi="Arial" w:eastAsia="SimSun"/>
          <w:b/>
          <w:i w:val="0"/>
          <w:color w:val="1F1F1F"/>
          <w:sz w:val="20"/>
        </w:rPr>
        <w:t>90%</w:t>
      </w:r>
      <w:r>
        <w:rPr>
          <w:rFonts w:ascii="Arial" w:hAnsi="Arial"/>
          <w:rFonts w:ascii="Arial" w:hAnsi="Arial" w:eastAsia="SimSun"/>
          <w:b w:val="0"/>
          <w:i w:val="0"/>
          <w:color w:val="1F1F1F"/>
          <w:sz w:val="20"/>
        </w:rPr>
        <w:t>，即使在 5 秒极短时间窗口内，I/O 耗时波动依然剧烈；</w:t>
      </w:r>
    </w:p>
    <w:p>
      <w:pPr>
        <w:spacing w:before="30" w:after="60"/>
        <w:ind w:left="340"/>
      </w:pPr>
      <w:r>
        <w:rPr>
          <w:rFonts w:ascii="Arial" w:hAnsi="Arial"/>
          <w:rFonts w:ascii="Arial" w:hAnsi="Arial" w:eastAsia="Arial"/>
          <w:b/>
          <w:i w:val="0"/>
          <w:color w:val="17365D"/>
          <w:sz w:val="20"/>
        </w:rPr>
        <w:t xml:space="preserve">3. </w:t>
      </w:r>
      <w:r>
        <w:rPr>
          <w:rFonts w:ascii="Arial" w:hAnsi="Arial"/>
          <w:rFonts w:ascii="Arial" w:hAnsi="Arial" w:eastAsia="SimSun"/>
          <w:b/>
          <w:i w:val="0"/>
          <w:color w:val="1F1F1F"/>
          <w:sz w:val="20"/>
        </w:rPr>
        <w:t>计算调度器对存储 I/O 状态盲目引发严重队头阻塞</w:t>
      </w:r>
      <w:r>
        <w:rPr>
          <w:rFonts w:ascii="Arial" w:hAnsi="Arial"/>
          <w:rFonts w:ascii="Arial" w:hAnsi="Arial" w:eastAsia="SimSun"/>
          <w:b w:val="0"/>
          <w:i w:val="0"/>
          <w:color w:val="1F1F1F"/>
          <w:sz w:val="20"/>
        </w:rPr>
        <w:t>：现有主流推理系统普遍采用先来先服务（FCFS）调度，调度器完全不感知 KV 数据所在的存储层级与加载耗时。当队头请求的 KV 位于慢速容量层需要加载数百毫秒时，后续哪怕已经在性能层就绪的小请求也必须被动排队等待，导致 GPU 算力单元大面积停顿空转；</w:t>
      </w:r>
    </w:p>
    <w:p>
      <w:pPr>
        <w:spacing w:before="30" w:after="60"/>
        <w:ind w:left="340"/>
      </w:pPr>
      <w:r>
        <w:rPr>
          <w:rFonts w:ascii="Arial" w:hAnsi="Arial"/>
          <w:rFonts w:ascii="Arial" w:hAnsi="Arial" w:eastAsia="Arial"/>
          <w:b/>
          <w:i w:val="0"/>
          <w:color w:val="17365D"/>
          <w:sz w:val="20"/>
        </w:rPr>
        <w:t xml:space="preserve">4. </w:t>
      </w:r>
      <w:r>
        <w:rPr>
          <w:rFonts w:ascii="Arial" w:hAnsi="Arial"/>
          <w:rFonts w:ascii="Arial" w:hAnsi="Arial" w:eastAsia="SimSun"/>
          <w:b/>
          <w:i w:val="0"/>
          <w:color w:val="1F1F1F"/>
          <w:sz w:val="20"/>
        </w:rPr>
        <w:t>传统淘汰策略在交互式负载下彻底失效</w:t>
      </w:r>
      <w:r>
        <w:rPr>
          <w:rFonts w:ascii="Arial" w:hAnsi="Arial"/>
          <w:rFonts w:ascii="Arial" w:hAnsi="Arial" w:eastAsia="SimSun"/>
          <w:b w:val="0"/>
          <w:i w:val="0"/>
          <w:color w:val="1F1F1F"/>
          <w:sz w:val="20"/>
        </w:rPr>
        <w:t>：经典缓存淘汰策略（如 LRU、LFU、FIFO 及队列增强策略）仅机械记录过去的访问频度或时效性，完全忽略了人类用户“阅读-理解-思考-提问”的交互时间动力学规律，导致性能层缓存命中率在真实压力下断崖式下跌至 20% 左右。</w:t>
      </w:r>
    </w:p>
    <w:p>
      <w:pPr>
        <w:spacing w:before="80" w:after="120"/>
        <w:pBdr>
          <w:bottom w:val="single" w:sz="4" w:space="3" w:color="D9E2F3"/>
        </w:pBdr>
      </w:pPr>
    </w:p>
    <w:p>
      <w:pPr>
        <w:spacing w:before="280" w:after="120" w:line="276" w:lineRule="auto"/>
      </w:pPr>
      <w:r>
        <w:rPr>
          <w:rFonts w:ascii="Arial" w:hAnsi="Arial"/>
          <w:rFonts w:ascii="Arial" w:hAnsi="Arial" w:eastAsia="Microsoft YaHei"/>
          <w:b/>
          <w:i w:val="0"/>
          <w:color w:val="17365D"/>
          <w:sz w:val="27"/>
        </w:rPr>
        <w:t>二、 核心技术细节与架构机理</w:t>
      </w:r>
    </w:p>
    <w:p>
      <w:pPr>
        <w:spacing w:before="0" w:after="100" w:line="336" w:lineRule="auto"/>
      </w:pPr>
      <w:r>
        <w:rPr>
          <w:rFonts w:ascii="Arial" w:hAnsi="Arial"/>
          <w:rFonts w:ascii="Arial" w:hAnsi="Arial" w:eastAsia="SimSun"/>
          <w:b w:val="0"/>
          <w:i w:val="0"/>
          <w:color w:val="1F1F1F"/>
          <w:sz w:val="20"/>
        </w:rPr>
        <w:t>Bidaw 提出了面向交互式大模型服务的</w:t>
      </w:r>
      <w:r>
        <w:rPr>
          <w:rFonts w:ascii="Arial" w:hAnsi="Arial"/>
          <w:rFonts w:ascii="Arial" w:hAnsi="Arial" w:eastAsia="SimSun"/>
          <w:b/>
          <w:i w:val="0"/>
          <w:color w:val="1F1F1F"/>
          <w:sz w:val="20"/>
        </w:rPr>
        <w:t>计算-存储双向感知协同架构（Bidirectional Computation–Storage Awareness）</w:t>
      </w:r>
      <w:r>
        <w:rPr>
          <w:rFonts w:ascii="Arial" w:hAnsi="Arial"/>
          <w:rFonts w:ascii="Arial" w:hAnsi="Arial" w:eastAsia="SimSun"/>
          <w:b w:val="0"/>
          <w:i w:val="0"/>
          <w:color w:val="1F1F1F"/>
          <w:sz w:val="20"/>
        </w:rPr>
        <w:t>。系统彻底打破了计算引擎与多级存储之间的信息孤岛，通过双向语义交互实现高吞吐低时延服务：</w:t>
      </w:r>
    </w:p>
    <w:p>
      <w:pPr>
        <w:spacing w:before="80" w:after="120" w:line="276" w:lineRule="auto"/>
        <w:pBdr>
          <w:left w:val="single" w:sz="24" w:space="12" w:color="B0C4DE"/>
        </w:pBdr>
        <w:shd w:fill="F2F4F7"/>
      </w:pPr>
      <w:r>
        <w:rPr>
          <w:rFonts w:ascii="Consolas" w:hAnsi="Consolas"/>
          <w:rFonts w:ascii="Consolas" w:hAnsi="Consolas" w:eastAsia="Microsoft YaHei"/>
          <w:b w:val="0"/>
          <w:i w:val="0"/>
          <w:color w:val="1F1F1F"/>
          <w:sz w:val="17"/>
        </w:rPr>
        <w:t>+-----------------------------------------------------------------------------------+</w:t>
        <w:br/>
        <w:t>+ Bidaw 计算-存储双向感知分层架构                                                   +</w:t>
        <w:br/>
        <w:t>|                                                                                   |</w:t>
        <w:br/>
        <w:t>|  [计算引擎侧: 存储感知的计算请求调度]                                             |</w:t>
        <w:br/>
        <w:t>|     ├── 状态感知分流: Ready Queue (性能层就绪) vs Preparing Queue (容量层预取)     |</w:t>
        <w:br/>
        <w:t>|     ├── GPU 就绪快路径: Ready Queue 零 I/O 阻塞直接调度 GPU，消除队头排队空转      |</w:t>
        <w:br/>
        <w:t>|     ├── 异步磁盘调度: Preparing Queue 采用 disk-HRRN 算法 (兼顾小请求与防饥饿)     |</w:t>
        <w:br/>
        <w:t>|     └── 原始到达时间插队: 预取完成后按 Original Arrival Time 晋升，保障长尾公平性 |</w:t>
        <w:br/>
        <w:t>|                                                                                   |</w:t>
        <w:br/>
        <w:t>|  [存储引擎侧: 计算感知的智能分层淘汰与对象选择]                                   |</w:t>
        <w:br/>
        <w:t>|     ├── 回答长度先验: 捕获上一轮生成 Answer 长度，精准推算思考停顿与重用距离下界  |</w:t>
        <w:br/>
        <w:t>|     ├── 幽灵缓存校准: 后台 Ghost Cache 回放 Belady 算法，动态自适应评定各桶命中潜力|</w:t>
        <w:br/>
        <w:t>|     └── 算力换空间: 在 MHA 模型下动态缓存高成本效益的中间激活张量 (Tensor 6)      |</w:t>
        <w:br/>
        <w:t>+-----------------------------------------------------------------------------------+</w:t>
      </w:r>
    </w:p>
    <w:p>
      <w:pPr>
        <w:keepNext/>
        <w:spacing w:before="160" w:after="40"/>
        <w:jc w:val="center"/>
      </w:pPr>
      <w:r>
        <w:drawing>
          <wp:inline xmlns:a="http://schemas.openxmlformats.org/drawingml/2006/main" xmlns:pic="http://schemas.openxmlformats.org/drawingml/2006/picture">
            <wp:extent cx="5303520" cy="5030801"/>
            <wp:docPr id="1" name="Picture 1"/>
            <wp:cNvGraphicFramePr>
              <a:graphicFrameLocks noChangeAspect="1"/>
            </wp:cNvGraphicFramePr>
            <a:graphic>
              <a:graphicData uri="http://schemas.openxmlformats.org/drawingml/2006/picture">
                <pic:pic>
                  <pic:nvPicPr>
                    <pic:cNvPr id="0" name="bidaw_fig9_system_overview.png"/>
                    <pic:cNvPicPr/>
                  </pic:nvPicPr>
                  <pic:blipFill>
                    <a:blip r:embed="rId11"/>
                    <a:stretch>
                      <a:fillRect/>
                    </a:stretch>
                  </pic:blipFill>
                  <pic:spPr>
                    <a:xfrm>
                      <a:off x="0" y="0"/>
                      <a:ext cx="5303520" cy="5030801"/>
                    </a:xfrm>
                    <a:prstGeom prst="rect"/>
                  </pic:spPr>
                </pic:pic>
              </a:graphicData>
            </a:graphic>
          </wp:inline>
        </w:drawing>
      </w:r>
    </w:p>
    <w:p>
      <w:pPr>
        <w:spacing w:before="40" w:after="160"/>
        <w:jc w:val="center"/>
      </w:pPr>
      <w:r>
        <w:rPr>
          <w:rFonts w:ascii="Arial" w:hAnsi="Arial"/>
          <w:rFonts w:ascii="Arial" w:hAnsi="Arial" w:eastAsia="SimSun"/>
          <w:b w:val="0"/>
          <w:i/>
          <w:color w:val="666666"/>
          <w:sz w:val="18"/>
        </w:rPr>
        <w:t>图：Figure 9: Bidaw 系统架构总览</w:t>
      </w:r>
    </w:p>
    <w:p>
      <w:pPr>
        <w:spacing w:before="0" w:after="100" w:line="336" w:lineRule="auto"/>
      </w:pPr>
      <w:r>
        <w:rPr>
          <w:rFonts w:ascii="Arial" w:hAnsi="Arial"/>
          <w:rFonts w:ascii="Arial" w:hAnsi="Arial" w:eastAsia="SimSun"/>
          <w:b w:val="0"/>
          <w:i w:val="0"/>
          <w:color w:val="1F1F1F"/>
          <w:sz w:val="20"/>
        </w:rPr>
        <w:t>*图 1：Bidaw 计算-存储双向感知整体系统架构与数据流交互（摘自 Bidaw 原文 Fig. 9）*</w:t>
      </w:r>
    </w:p>
    <w:p>
      <w:pPr>
        <w:spacing w:before="200" w:after="80" w:line="276" w:lineRule="auto"/>
      </w:pPr>
      <w:r>
        <w:rPr>
          <w:rFonts w:ascii="Arial" w:hAnsi="Arial"/>
          <w:rFonts w:ascii="Arial" w:hAnsi="Arial" w:eastAsia="Microsoft YaHei"/>
          <w:b/>
          <w:i w:val="0"/>
          <w:color w:val="2F5597"/>
          <w:sz w:val="23"/>
        </w:rPr>
        <w:t>2.1 存储感知的计算请求调度（Storage-Aware Request Scheduling）</w:t>
      </w:r>
    </w:p>
    <w:p>
      <w:pPr>
        <w:spacing w:before="0" w:after="100" w:line="336" w:lineRule="auto"/>
      </w:pPr>
      <w:r>
        <w:rPr>
          <w:rFonts w:ascii="Arial" w:hAnsi="Arial"/>
          <w:rFonts w:ascii="Arial" w:hAnsi="Arial" w:eastAsia="SimSun"/>
          <w:b w:val="0"/>
          <w:i w:val="0"/>
          <w:color w:val="1F1F1F"/>
          <w:sz w:val="20"/>
        </w:rPr>
        <w:t>针对容量层慢速 I/O 引发的队头阻塞，Bidaw 在计算引擎中引入了双队列解耦与混合调度策略：</w:t>
      </w:r>
    </w:p>
    <w:p>
      <w:pPr>
        <w:spacing w:before="30" w:after="60"/>
        <w:ind w:left="340"/>
      </w:pPr>
      <w:r>
        <w:rPr>
          <w:rFonts w:ascii="Arial" w:hAnsi="Arial"/>
          <w:rFonts w:ascii="Arial" w:hAnsi="Arial" w:eastAsia="Arial"/>
          <w:b/>
          <w:i w:val="0"/>
          <w:color w:val="17365D"/>
          <w:sz w:val="20"/>
        </w:rPr>
        <w:t xml:space="preserve">1. </w:t>
      </w:r>
      <w:r>
        <w:rPr>
          <w:rFonts w:ascii="Arial" w:hAnsi="Arial"/>
          <w:rFonts w:ascii="Arial" w:hAnsi="Arial" w:eastAsia="SimSun"/>
          <w:b/>
          <w:i w:val="0"/>
          <w:color w:val="1F1F1F"/>
          <w:sz w:val="20"/>
        </w:rPr>
        <w:t>双队列解耦（Dual-Queue Separation）</w:t>
      </w:r>
      <w:r>
        <w:rPr>
          <w:rFonts w:ascii="Arial" w:hAnsi="Arial"/>
          <w:rFonts w:ascii="Arial" w:hAnsi="Arial" w:eastAsia="SimSun"/>
          <w:b w:val="0"/>
          <w:i w:val="0"/>
          <w:color w:val="1F1F1F"/>
          <w:sz w:val="20"/>
        </w:rPr>
        <w:t>：</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Ready Queue（就绪队列）</w:t>
      </w:r>
      <w:r>
        <w:rPr>
          <w:rFonts w:ascii="Arial" w:hAnsi="Arial"/>
          <w:rFonts w:ascii="Arial" w:hAnsi="Arial" w:eastAsia="SimSun"/>
          <w:b w:val="0"/>
          <w:i w:val="0"/>
          <w:color w:val="1F1F1F"/>
          <w:sz w:val="20"/>
        </w:rPr>
        <w:t>：仅存放 KV 数据已经完整驻留在性能层（Host DRAM）的请求。当 GPU 具备空闲显存时，计算引擎严格仅从就绪队列中选取请求下发计算，实现零慢速 I/O 阻塞的极致吞吐；</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Preparing Queue（准备队列）</w:t>
      </w:r>
      <w:r>
        <w:rPr>
          <w:rFonts w:ascii="Arial" w:hAnsi="Arial"/>
          <w:rFonts w:ascii="Arial" w:hAnsi="Arial" w:eastAsia="SimSun"/>
          <w:b w:val="0"/>
          <w:i w:val="0"/>
          <w:color w:val="1F1F1F"/>
          <w:sz w:val="20"/>
        </w:rPr>
        <w:t>：当请求到达且其历史 KV 位于慢速容量层（SSD）时，直接派发至准备队列，由后台异步 I/O 任务将其 KV 提前拉取至性能层；</w:t>
      </w:r>
    </w:p>
    <w:p>
      <w:pPr>
        <w:spacing w:before="30" w:after="60"/>
        <w:ind w:left="340"/>
      </w:pPr>
      <w:r>
        <w:rPr>
          <w:rFonts w:ascii="Arial" w:hAnsi="Arial"/>
          <w:rFonts w:ascii="Arial" w:hAnsi="Arial" w:eastAsia="Arial"/>
          <w:b/>
          <w:i w:val="0"/>
          <w:color w:val="17365D"/>
          <w:sz w:val="20"/>
        </w:rPr>
        <w:t xml:space="preserve">2. </w:t>
      </w:r>
      <w:r>
        <w:rPr>
          <w:rFonts w:ascii="Arial" w:hAnsi="Arial"/>
          <w:rFonts w:ascii="Arial" w:hAnsi="Arial" w:eastAsia="SimSun"/>
          <w:b/>
          <w:i w:val="0"/>
          <w:color w:val="1F1F1F"/>
          <w:sz w:val="20"/>
        </w:rPr>
        <w:t>基于原始到达时间的公平晋升机制</w:t>
      </w:r>
      <w:r>
        <w:rPr>
          <w:rFonts w:ascii="Arial" w:hAnsi="Arial"/>
          <w:rFonts w:ascii="Arial" w:hAnsi="Arial" w:eastAsia="SimSun"/>
          <w:b w:val="0"/>
          <w:i w:val="0"/>
          <w:color w:val="1F1F1F"/>
          <w:sz w:val="20"/>
        </w:rPr>
        <w:t>：</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传统设计若在 I/O 完成后将请求追加至就绪队列末尾，会导致大请求经历“I/O 排队 + 重新排队”的双重惩罚，严重恶化 P99 尾部时延；</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Bidaw 规定：当准备队列中的请求完成 I/O 加载后，</w:t>
      </w:r>
      <w:r>
        <w:rPr>
          <w:rFonts w:ascii="Arial" w:hAnsi="Arial"/>
          <w:rFonts w:ascii="Arial" w:hAnsi="Arial" w:eastAsia="SimSun"/>
          <w:b/>
          <w:i w:val="0"/>
          <w:color w:val="1F1F1F"/>
          <w:sz w:val="20"/>
        </w:rPr>
        <w:t>依据其最初到达系统的原始时间戳（Original Arrival Time）重新插入就绪队列相应位置</w:t>
      </w:r>
      <w:r>
        <w:rPr>
          <w:rFonts w:ascii="Arial" w:hAnsi="Arial"/>
          <w:rFonts w:ascii="Arial" w:hAnsi="Arial" w:eastAsia="SimSun"/>
          <w:b w:val="0"/>
          <w:i w:val="0"/>
          <w:color w:val="1F1F1F"/>
          <w:sz w:val="20"/>
        </w:rPr>
        <w:t>，有效收敛了高并发下的长尾时延；</w:t>
      </w:r>
    </w:p>
    <w:p>
      <w:pPr>
        <w:spacing w:before="30" w:after="60"/>
        <w:ind w:left="340"/>
      </w:pPr>
      <w:r>
        <w:rPr>
          <w:rFonts w:ascii="Arial" w:hAnsi="Arial"/>
          <w:rFonts w:ascii="Arial" w:hAnsi="Arial" w:eastAsia="Arial"/>
          <w:b/>
          <w:i w:val="0"/>
          <w:color w:val="17365D"/>
          <w:sz w:val="20"/>
        </w:rPr>
        <w:t xml:space="preserve">3. </w:t>
      </w:r>
      <w:r>
        <w:rPr>
          <w:rFonts w:ascii="Arial" w:hAnsi="Arial"/>
          <w:rFonts w:ascii="Arial" w:hAnsi="Arial" w:eastAsia="SimSun"/>
          <w:b/>
          <w:i w:val="0"/>
          <w:color w:val="1F1F1F"/>
          <w:sz w:val="20"/>
        </w:rPr>
        <w:t>容量层读取的高响应比优先调度（disk-HRRN）</w:t>
      </w:r>
      <w:r>
        <w:rPr>
          <w:rFonts w:ascii="Arial" w:hAnsi="Arial"/>
          <w:rFonts w:ascii="Arial" w:hAnsi="Arial" w:eastAsia="SimSun"/>
          <w:b w:val="0"/>
          <w:i w:val="0"/>
          <w:color w:val="1F1F1F"/>
          <w:sz w:val="20"/>
        </w:rPr>
        <w:t>：</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在准备队列中，请求所需加载的 KV 尺寸差异巨大。若简单按照 FCFS 发起磁盘 I/O，慢速大对象会阻塞小对象；</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Bidaw 引入磁盘高响应比调度算法，I/O 优先级公式定义为：</w:t>
      </w:r>
    </w:p>
    <w:p>
      <w:pPr>
        <w:spacing w:before="0" w:after="100" w:line="336" w:lineRule="auto"/>
      </w:pPr>
      <w:r>
        <w:rPr>
          <w:rFonts w:ascii="Arial" w:hAnsi="Arial"/>
          <w:rFonts w:ascii="Arial" w:hAnsi="Arial" w:eastAsia="SimSun"/>
          <w:b w:val="0"/>
          <w:i w:val="0"/>
          <w:color w:val="1F1F1F"/>
          <w:sz w:val="20"/>
        </w:rPr>
        <w:t>$$\text{Priority} = 1 + \frac{\text{Waiting Time}}{\text{KV Size}}$$</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该公式在初始阶段优先调度 KV 数据量小、加载速度快的小请求，快速提升系统整体服务吞吐；随着等待时间（Waiting Time）推移，大请求的响应比持续累积增大，从物理上杜绝了超大请求发生饥饿。</w:t>
      </w:r>
    </w:p>
    <w:p>
      <w:pPr>
        <w:spacing w:before="200" w:after="80" w:line="276" w:lineRule="auto"/>
      </w:pPr>
      <w:r>
        <w:rPr>
          <w:rFonts w:ascii="Arial" w:hAnsi="Arial"/>
          <w:rFonts w:ascii="Arial" w:hAnsi="Arial" w:eastAsia="Microsoft YaHei"/>
          <w:b/>
          <w:i w:val="0"/>
          <w:color w:val="2F5597"/>
          <w:sz w:val="23"/>
        </w:rPr>
        <w:t>2.2 计算感知的上层语义分层淘汰（Computation-Aware Eviction Strategy）</w:t>
      </w:r>
    </w:p>
    <w:p>
      <w:pPr>
        <w:spacing w:before="0" w:after="100" w:line="336" w:lineRule="auto"/>
      </w:pPr>
      <w:r>
        <w:rPr>
          <w:rFonts w:ascii="Arial" w:hAnsi="Arial"/>
          <w:rFonts w:ascii="Arial" w:hAnsi="Arial" w:eastAsia="SimSun"/>
          <w:b w:val="0"/>
          <w:i w:val="0"/>
          <w:color w:val="1F1F1F"/>
          <w:sz w:val="20"/>
        </w:rPr>
        <w:t>在性能层空间不足需要向容量层淘汰数据时，Bidaw 深度利用计算引擎暴露的应用层交互动力学特征：</w:t>
      </w:r>
    </w:p>
    <w:p>
      <w:pPr>
        <w:keepNext/>
        <w:spacing w:before="160" w:after="40"/>
        <w:jc w:val="center"/>
      </w:pPr>
      <w:r>
        <w:drawing>
          <wp:inline xmlns:a="http://schemas.openxmlformats.org/drawingml/2006/main" xmlns:pic="http://schemas.openxmlformats.org/drawingml/2006/picture">
            <wp:extent cx="5303520" cy="3201546"/>
            <wp:docPr id="2" name="Picture 2"/>
            <wp:cNvGraphicFramePr>
              <a:graphicFrameLocks noChangeAspect="1"/>
            </wp:cNvGraphicFramePr>
            <a:graphic>
              <a:graphicData uri="http://schemas.openxmlformats.org/drawingml/2006/picture">
                <pic:pic>
                  <pic:nvPicPr>
                    <pic:cNvPr id="0" name="bidaw_fig18_cache_miss_rate.png"/>
                    <pic:cNvPicPr/>
                  </pic:nvPicPr>
                  <pic:blipFill>
                    <a:blip r:embed="rId12"/>
                    <a:stretch>
                      <a:fillRect/>
                    </a:stretch>
                  </pic:blipFill>
                  <pic:spPr>
                    <a:xfrm>
                      <a:off x="0" y="0"/>
                      <a:ext cx="5303520" cy="3201546"/>
                    </a:xfrm>
                    <a:prstGeom prst="rect"/>
                  </pic:spPr>
                </pic:pic>
              </a:graphicData>
            </a:graphic>
          </wp:inline>
        </w:drawing>
      </w:r>
    </w:p>
    <w:p>
      <w:pPr>
        <w:spacing w:before="40" w:after="160"/>
        <w:jc w:val="center"/>
      </w:pPr>
      <w:r>
        <w:rPr>
          <w:rFonts w:ascii="Arial" w:hAnsi="Arial"/>
          <w:rFonts w:ascii="Arial" w:hAnsi="Arial" w:eastAsia="SimSun"/>
          <w:b w:val="0"/>
          <w:i/>
          <w:color w:val="666666"/>
          <w:sz w:val="18"/>
        </w:rPr>
        <w:t>图：Figure 18: 性能层缓存 Miss Rate 随主机内存容量与负载压力变化</w:t>
      </w:r>
    </w:p>
    <w:p>
      <w:pPr>
        <w:spacing w:before="0" w:after="100" w:line="336" w:lineRule="auto"/>
      </w:pPr>
      <w:r>
        <w:rPr>
          <w:rFonts w:ascii="Arial" w:hAnsi="Arial"/>
          <w:rFonts w:ascii="Arial" w:hAnsi="Arial" w:eastAsia="SimSun"/>
          <w:b w:val="0"/>
          <w:i w:val="0"/>
          <w:color w:val="1F1F1F"/>
          <w:sz w:val="20"/>
        </w:rPr>
        <w:t>*图 2：OPT-13B 下性能层缓存 Miss Rate 对比（摘自 Bidaw 原文 Fig. 18）*</w:t>
      </w:r>
    </w:p>
    <w:p>
      <w:pPr>
        <w:spacing w:before="30" w:after="60"/>
        <w:ind w:left="340"/>
      </w:pPr>
      <w:r>
        <w:rPr>
          <w:rFonts w:ascii="Arial" w:hAnsi="Arial"/>
          <w:rFonts w:ascii="Arial" w:hAnsi="Arial" w:eastAsia="Arial"/>
          <w:b/>
          <w:i w:val="0"/>
          <w:color w:val="17365D"/>
          <w:sz w:val="20"/>
        </w:rPr>
        <w:t xml:space="preserve">1. </w:t>
      </w:r>
      <w:r>
        <w:rPr>
          <w:rFonts w:ascii="Arial" w:hAnsi="Arial"/>
          <w:rFonts w:ascii="Arial" w:hAnsi="Arial" w:eastAsia="SimSun"/>
          <w:b/>
          <w:i w:val="0"/>
          <w:color w:val="1F1F1F"/>
          <w:sz w:val="20"/>
        </w:rPr>
        <w:t>基于模型上一轮回答长度预测加权重用距离下界</w:t>
      </w:r>
      <w:r>
        <w:rPr>
          <w:rFonts w:ascii="Arial" w:hAnsi="Arial"/>
          <w:rFonts w:ascii="Arial" w:hAnsi="Arial" w:eastAsia="SimSun"/>
          <w:b w:val="0"/>
          <w:i w:val="0"/>
          <w:color w:val="1F1F1F"/>
          <w:sz w:val="20"/>
        </w:rPr>
        <w:t>：</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交互式对话属于人类在环（Human-in-the-Loop）系统。当模型上一轮返回的回答文本很长时，人类用户必然需要消耗更多的时间阅读、理解并组织下一轮提问；</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在这段人类思考等待期内，其他用户的并发请求持续涌入，导致当前用户的加权重用距离显著增大；</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清华团队在 12 组不同时段真实负载分析中测得，</w:t>
      </w:r>
      <w:r>
        <w:rPr>
          <w:rFonts w:ascii="Arial" w:hAnsi="Arial"/>
          <w:rFonts w:ascii="Arial" w:hAnsi="Arial" w:eastAsia="SimSun"/>
          <w:b/>
          <w:i w:val="0"/>
          <w:color w:val="1F1F1F"/>
          <w:sz w:val="20"/>
        </w:rPr>
        <w:t>上一轮模型回答长度与下一次访问的加权重用距离下界呈现强正相关，Spearman 秩相关系数高达 0.94 ~ 0.98</w:t>
      </w:r>
      <w:r>
        <w:rPr>
          <w:rFonts w:ascii="Arial" w:hAnsi="Arial"/>
          <w:rFonts w:ascii="Arial" w:hAnsi="Arial" w:eastAsia="SimSun"/>
          <w:b w:val="0"/>
          <w:i w:val="0"/>
          <w:color w:val="1F1F1F"/>
          <w:sz w:val="20"/>
        </w:rPr>
        <w:t>；系统在线统计该分布，即可准确推知各会话在未来的重用距离下界；</w:t>
      </w:r>
    </w:p>
    <w:p>
      <w:pPr>
        <w:spacing w:before="30" w:after="60"/>
        <w:ind w:left="340"/>
      </w:pPr>
      <w:r>
        <w:rPr>
          <w:rFonts w:ascii="Arial" w:hAnsi="Arial"/>
          <w:rFonts w:ascii="Arial" w:hAnsi="Arial" w:eastAsia="Arial"/>
          <w:b/>
          <w:i w:val="0"/>
          <w:color w:val="17365D"/>
          <w:sz w:val="20"/>
        </w:rPr>
        <w:t xml:space="preserve">2. </w:t>
      </w:r>
      <w:r>
        <w:rPr>
          <w:rFonts w:ascii="Arial" w:hAnsi="Arial"/>
          <w:rFonts w:ascii="Arial" w:hAnsi="Arial" w:eastAsia="SimSun"/>
          <w:b/>
          <w:i w:val="0"/>
          <w:color w:val="1F1F1F"/>
          <w:sz w:val="20"/>
        </w:rPr>
        <w:t>幽灵缓存（Ghost Cache）与分桶命中潜力评定</w:t>
      </w:r>
      <w:r>
        <w:rPr>
          <w:rFonts w:ascii="Arial" w:hAnsi="Arial"/>
          <w:rFonts w:ascii="Arial" w:hAnsi="Arial" w:eastAsia="SimSun"/>
          <w:b w:val="0"/>
          <w:i w:val="0"/>
          <w:color w:val="1F1F1F"/>
          <w:sz w:val="20"/>
        </w:rPr>
        <w:t>：</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拥有重用距离预测后，如何量化其被淘汰的价值？理论最优的 Belady 算法因需要预知未来而在在线热路径中无法直接运行；</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Bidaw 在后台维护一个幽灵缓存（Ghost Cache），对已经执行完毕的历史闭合时间窗口回放 Belady 最优淘汰模拟，量化计算不同加权重用距离区间的实际命中潜力：</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Small 桶</w:t>
      </w:r>
      <w:r>
        <w:rPr>
          <w:rFonts w:ascii="Arial" w:hAnsi="Arial"/>
          <w:rFonts w:ascii="Arial" w:hAnsi="Arial" w:eastAsia="SimSun"/>
          <w:b w:val="0"/>
          <w:i w:val="0"/>
          <w:color w:val="1F1F1F"/>
          <w:sz w:val="20"/>
        </w:rPr>
        <w:t>：加权重用距离小于性能层容量，历史命中率为 100%；</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$m$ 个 Promising 桶</w:t>
      </w:r>
      <w:r>
        <w:rPr>
          <w:rFonts w:ascii="Arial" w:hAnsi="Arial"/>
          <w:rFonts w:ascii="Arial" w:hAnsi="Arial" w:eastAsia="SimSun"/>
          <w:b w:val="0"/>
          <w:i w:val="0"/>
          <w:color w:val="1F1F1F"/>
          <w:sz w:val="20"/>
        </w:rPr>
        <w:t>：加权重用距离超过性能层容量，但 Belady 模拟证实其仍具备一定概率的命中潜力（Hit Potential）；</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Extreme 桶</w:t>
      </w:r>
      <w:r>
        <w:rPr>
          <w:rFonts w:ascii="Arial" w:hAnsi="Arial"/>
          <w:rFonts w:ascii="Arial" w:hAnsi="Arial" w:eastAsia="SimSun"/>
          <w:b w:val="0"/>
          <w:i w:val="0"/>
          <w:color w:val="1F1F1F"/>
          <w:sz w:val="20"/>
        </w:rPr>
        <w:t>：重用距离极其遥远，命中潜力完全归零；</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 xml:space="preserve">在触发淘汰时，系统结合上一轮回答长度排除不可能的 Promising 桶，精准选择综合命中潜力最低的 KV 优先驱逐，实测性能层 Miss Rate 较 LRU/LFU 暴降 </w:t>
      </w:r>
      <w:r>
        <w:rPr>
          <w:rFonts w:ascii="Arial" w:hAnsi="Arial"/>
          <w:rFonts w:ascii="Arial" w:hAnsi="Arial" w:eastAsia="SimSun"/>
          <w:b/>
          <w:i w:val="0"/>
          <w:color w:val="1F1F1F"/>
          <w:sz w:val="20"/>
        </w:rPr>
        <w:t>57.6% ~ 69.9%</w:t>
      </w:r>
      <w:r>
        <w:rPr>
          <w:rFonts w:ascii="Arial" w:hAnsi="Arial"/>
          <w:rFonts w:ascii="Arial" w:hAnsi="Arial" w:eastAsia="SimSun"/>
          <w:b w:val="0"/>
          <w:i w:val="0"/>
          <w:color w:val="1F1F1F"/>
          <w:sz w:val="20"/>
        </w:rPr>
        <w:t>。</w:t>
      </w:r>
    </w:p>
    <w:p>
      <w:pPr>
        <w:spacing w:before="200" w:after="80" w:line="276" w:lineRule="auto"/>
      </w:pPr>
      <w:r>
        <w:rPr>
          <w:rFonts w:ascii="Arial" w:hAnsi="Arial"/>
          <w:rFonts w:ascii="Arial" w:hAnsi="Arial" w:eastAsia="Microsoft YaHei"/>
          <w:b/>
          <w:i w:val="0"/>
          <w:color w:val="2F5597"/>
          <w:sz w:val="23"/>
        </w:rPr>
        <w:t>2.3 算力-存储折衷的高价值中间张量动态转换缓存（Storage-Efficient Tensor Caching）</w:t>
      </w:r>
    </w:p>
    <w:p>
      <w:pPr>
        <w:spacing w:before="0" w:after="100" w:line="336" w:lineRule="auto"/>
      </w:pPr>
      <w:r>
        <w:rPr>
          <w:rFonts w:ascii="Arial" w:hAnsi="Arial"/>
          <w:rFonts w:ascii="Arial" w:hAnsi="Arial" w:eastAsia="SimSun"/>
          <w:b w:val="0"/>
          <w:i w:val="0"/>
          <w:color w:val="1F1F1F"/>
          <w:sz w:val="20"/>
        </w:rPr>
        <w:t>传统系统无论在显存还是外存中，皆无条件缓存原始 Key 与 Value 张量。Bidaw 提出依据“单位显存节省计算量”重新审视缓存对象：</w:t>
      </w:r>
    </w:p>
    <w:p>
      <w:pPr>
        <w:spacing w:before="30" w:after="60"/>
        <w:ind w:left="340"/>
      </w:pPr>
      <w:r>
        <w:rPr>
          <w:rFonts w:ascii="Arial" w:hAnsi="Arial"/>
          <w:rFonts w:ascii="Arial" w:hAnsi="Arial" w:eastAsia="Arial"/>
          <w:b/>
          <w:i w:val="0"/>
          <w:color w:val="17365D"/>
          <w:sz w:val="20"/>
        </w:rPr>
        <w:t xml:space="preserve">1. </w:t>
      </w:r>
      <w:r>
        <w:rPr>
          <w:rFonts w:ascii="Arial" w:hAnsi="Arial"/>
          <w:rFonts w:ascii="Arial" w:hAnsi="Arial" w:eastAsia="SimSun"/>
          <w:b/>
          <w:i w:val="0"/>
          <w:color w:val="1F1F1F"/>
          <w:sz w:val="20"/>
        </w:rPr>
        <w:t>成本效益量化评估</w:t>
      </w:r>
      <w:r>
        <w:rPr>
          <w:rFonts w:ascii="Arial" w:hAnsi="Arial"/>
          <w:rFonts w:ascii="Arial" w:hAnsi="Arial" w:eastAsia="SimSun"/>
          <w:b w:val="0"/>
          <w:i w:val="0"/>
          <w:color w:val="1F1F1F"/>
          <w:sz w:val="20"/>
        </w:rPr>
        <w:t>：</w:t>
      </w:r>
    </w:p>
    <w:p>
      <w:pPr>
        <w:spacing w:before="0" w:after="100" w:line="336" w:lineRule="auto"/>
      </w:pPr>
      <w:r>
        <w:rPr>
          <w:rFonts w:ascii="Arial" w:hAnsi="Arial"/>
          <w:rFonts w:ascii="Arial" w:hAnsi="Arial" w:eastAsia="SimSun"/>
          <w:b w:val="0"/>
          <w:i w:val="0"/>
          <w:color w:val="1F1F1F"/>
          <w:sz w:val="20"/>
        </w:rPr>
        <w:t>$$\text{Cost Efficiency} = \frac{\text{Saved Computing Amount (FLOPs)}}{\text{Required Space (Bytes)}}$$</w:t>
      </w:r>
    </w:p>
    <w:p>
      <w:pPr>
        <w:spacing w:before="30" w:after="60"/>
        <w:ind w:left="340"/>
      </w:pPr>
      <w:r>
        <w:rPr>
          <w:rFonts w:ascii="Arial" w:hAnsi="Arial"/>
          <w:rFonts w:ascii="Arial" w:hAnsi="Arial" w:eastAsia="Arial"/>
          <w:b/>
          <w:i w:val="0"/>
          <w:color w:val="17365D"/>
          <w:sz w:val="20"/>
        </w:rPr>
        <w:t xml:space="preserve">2. </w:t>
      </w:r>
      <w:r>
        <w:rPr>
          <w:rFonts w:ascii="Arial" w:hAnsi="Arial"/>
          <w:rFonts w:ascii="Arial" w:hAnsi="Arial" w:eastAsia="SimSun"/>
          <w:b/>
          <w:i w:val="0"/>
          <w:color w:val="1F1F1F"/>
          <w:sz w:val="20"/>
        </w:rPr>
        <w:t>中间张量替代原始 KV</w:t>
      </w:r>
      <w:r>
        <w:rPr>
          <w:rFonts w:ascii="Arial" w:hAnsi="Arial"/>
          <w:rFonts w:ascii="Arial" w:hAnsi="Arial" w:eastAsia="SimSun"/>
          <w:b w:val="0"/>
          <w:i w:val="0"/>
          <w:color w:val="1F1F1F"/>
          <w:sz w:val="20"/>
        </w:rPr>
        <w:t>：</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 xml:space="preserve">在多头注意力（MHA）前向计算中，Transformer 块内部会产生多个中间激活张量。论文量化发现，LayerNorm 归一化后的激活张量（Tensor 6）仅需一步投影即可重构为 KV 张量，其成本效益高达 </w:t>
      </w:r>
      <w:r>
        <w:rPr>
          <w:rFonts w:ascii="Arial" w:hAnsi="Arial"/>
          <w:rFonts w:ascii="Arial" w:hAnsi="Arial" w:eastAsia="SimSun"/>
          <w:b/>
          <w:i w:val="0"/>
          <w:color w:val="1F1F1F"/>
          <w:sz w:val="20"/>
        </w:rPr>
        <w:t>51.0</w:t>
      </w:r>
      <w:r>
        <w:rPr>
          <w:rFonts w:ascii="Arial" w:hAnsi="Arial"/>
          <w:rFonts w:ascii="Arial" w:hAnsi="Arial" w:eastAsia="SimSun"/>
          <w:b w:val="0"/>
          <w:i w:val="0"/>
          <w:color w:val="1F1F1F"/>
          <w:sz w:val="20"/>
        </w:rPr>
        <w:t xml:space="preserve">，远高于原始 KV 张量的 </w:t>
      </w:r>
      <w:r>
        <w:rPr>
          <w:rFonts w:ascii="Arial" w:hAnsi="Arial"/>
          <w:rFonts w:ascii="Arial" w:hAnsi="Arial" w:eastAsia="SimSun"/>
          <w:b/>
          <w:i w:val="0"/>
          <w:color w:val="1F1F1F"/>
          <w:sz w:val="20"/>
        </w:rPr>
        <w:t>30.5</w:t>
      </w:r>
      <w:r>
        <w:rPr>
          <w:rFonts w:ascii="Arial" w:hAnsi="Arial"/>
          <w:rFonts w:ascii="Arial" w:hAnsi="Arial" w:eastAsia="SimSun"/>
          <w:b w:val="0"/>
          <w:i w:val="0"/>
          <w:color w:val="1F1F1F"/>
          <w:sz w:val="20"/>
        </w:rPr>
        <w:t>；</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缓存 Tensor 6 可显著压缩在存储介质中的物理体积，使得性能层能容纳更多用户的上下文；</w:t>
      </w:r>
    </w:p>
    <w:p>
      <w:pPr>
        <w:spacing w:before="30" w:after="60"/>
        <w:ind w:left="340"/>
      </w:pPr>
      <w:r>
        <w:rPr>
          <w:rFonts w:ascii="Arial" w:hAnsi="Arial"/>
          <w:rFonts w:ascii="Arial" w:hAnsi="Arial" w:eastAsia="Arial"/>
          <w:b/>
          <w:i w:val="0"/>
          <w:color w:val="17365D"/>
          <w:sz w:val="20"/>
        </w:rPr>
        <w:t xml:space="preserve">3. </w:t>
      </w:r>
      <w:r>
        <w:rPr>
          <w:rFonts w:ascii="Arial" w:hAnsi="Arial"/>
          <w:rFonts w:ascii="Arial" w:hAnsi="Arial" w:eastAsia="SimSun"/>
          <w:b/>
          <w:i w:val="0"/>
          <w:color w:val="1F1F1F"/>
          <w:sz w:val="20"/>
        </w:rPr>
        <w:t>利用闲置计算单元并发重构</w:t>
      </w:r>
      <w:r>
        <w:rPr>
          <w:rFonts w:ascii="Arial" w:hAnsi="Arial"/>
          <w:rFonts w:ascii="Arial" w:hAnsi="Arial" w:eastAsia="SimSun"/>
          <w:b w:val="0"/>
          <w:i w:val="0"/>
          <w:color w:val="1F1F1F"/>
          <w:sz w:val="20"/>
        </w:rPr>
        <w:t>：</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 xml:space="preserve">由于大量冗余计算已被缓存消除，大模型在自回归解码阶段往往受限于访存带宽（Memory-Bound），实测 GPU 流式多处理器（SM）存在超过 </w:t>
      </w:r>
      <w:r>
        <w:rPr>
          <w:rFonts w:ascii="Arial" w:hAnsi="Arial"/>
          <w:rFonts w:ascii="Arial" w:hAnsi="Arial" w:eastAsia="SimSun"/>
          <w:b/>
          <w:i w:val="0"/>
          <w:color w:val="1F1F1F"/>
          <w:sz w:val="20"/>
        </w:rPr>
        <w:t>30% 的空闲算力</w:t>
      </w:r>
      <w:r>
        <w:rPr>
          <w:rFonts w:ascii="Arial" w:hAnsi="Arial"/>
          <w:rFonts w:ascii="Arial" w:hAnsi="Arial" w:eastAsia="SimSun"/>
          <w:b w:val="0"/>
          <w:i w:val="0"/>
          <w:color w:val="1F1F1F"/>
          <w:sz w:val="20"/>
        </w:rPr>
        <w:t>；</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Bidaw 将 Tensor 6 转换重构成 KV 的计算分配至独立的低优先级 CUDA Stream，利用空闲 SM 异步执行，完全不干扰前台正常的模型推理流。</w:t>
      </w:r>
    </w:p>
    <w:p>
      <w:pPr>
        <w:spacing w:before="80" w:after="120"/>
        <w:pBdr>
          <w:bottom w:val="single" w:sz="4" w:space="3" w:color="D9E2F3"/>
        </w:pBdr>
      </w:pPr>
    </w:p>
    <w:p>
      <w:pPr>
        <w:spacing w:before="280" w:after="120" w:line="276" w:lineRule="auto"/>
      </w:pPr>
      <w:r>
        <w:rPr>
          <w:rFonts w:ascii="Arial" w:hAnsi="Arial"/>
          <w:rFonts w:ascii="Arial" w:hAnsi="Arial" w:eastAsia="Microsoft YaHei"/>
          <w:b/>
          <w:i w:val="0"/>
          <w:color w:val="17365D"/>
          <w:sz w:val="27"/>
        </w:rPr>
        <w:t>三、 关键实验平台与量化测试结果</w:t>
      </w:r>
    </w:p>
    <w:p>
      <w:pPr>
        <w:spacing w:before="200" w:after="80" w:line="276" w:lineRule="auto"/>
      </w:pPr>
      <w:r>
        <w:rPr>
          <w:rFonts w:ascii="Arial" w:hAnsi="Arial"/>
          <w:rFonts w:ascii="Arial" w:hAnsi="Arial" w:eastAsia="Microsoft YaHei"/>
          <w:b/>
          <w:i w:val="0"/>
          <w:color w:val="2F5597"/>
          <w:sz w:val="23"/>
        </w:rPr>
        <w:t>3.1 实验平台与基线配置</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测试硬件平台</w:t>
      </w:r>
      <w:r>
        <w:rPr>
          <w:rFonts w:ascii="Arial" w:hAnsi="Arial"/>
          <w:rFonts w:ascii="Arial" w:hAnsi="Arial" w:eastAsia="SimSun"/>
          <w:b w:val="0"/>
          <w:i w:val="0"/>
          <w:color w:val="1F1F1F"/>
          <w:sz w:val="20"/>
        </w:rPr>
        <w:t>：单卡 NVIDIA A800 GPU（80GB HBM3，通过 PCIe 4.0 互连）、200GB Host DRAM 性能层、4× SATA SSD 组建 RAID-5（持续读带宽 1.5 GB/s）；</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评测模型覆盖</w:t>
      </w:r>
      <w:r>
        <w:rPr>
          <w:rFonts w:ascii="Arial" w:hAnsi="Arial"/>
          <w:rFonts w:ascii="Arial" w:hAnsi="Arial" w:eastAsia="SimSun"/>
          <w:b w:val="0"/>
          <w:i w:val="0"/>
          <w:color w:val="1F1F1F"/>
          <w:sz w:val="20"/>
        </w:rPr>
        <w:t>：OPT-6.7B、Qwen-7B、OPT-13B、Qwen-14B、OPT-30B；</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真实工作负载</w:t>
      </w:r>
      <w:r>
        <w:rPr>
          <w:rFonts w:ascii="Arial" w:hAnsi="Arial"/>
          <w:rFonts w:ascii="Arial" w:hAnsi="Arial" w:eastAsia="SimSun"/>
          <w:b w:val="0"/>
          <w:i w:val="0"/>
          <w:color w:val="1F1F1F"/>
          <w:sz w:val="20"/>
        </w:rPr>
        <w:t>：作者构建的超过 100 万轮对话的真实交互式 Trace（平均会话 22.4 轮），并发压力覆盖 10 ~ 40 users/minute；对照公共 ShareGPT 负载；</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对比基线系统</w:t>
      </w:r>
      <w:r>
        <w:rPr>
          <w:rFonts w:ascii="Arial" w:hAnsi="Arial"/>
          <w:rFonts w:ascii="Arial" w:hAnsi="Arial" w:eastAsia="SimSun"/>
          <w:b w:val="0"/>
          <w:i w:val="0"/>
          <w:color w:val="1F1F1F"/>
          <w:sz w:val="20"/>
        </w:rPr>
        <w:t>：</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vLLM</w:t>
      </w:r>
      <w:r>
        <w:rPr>
          <w:rFonts w:ascii="Arial" w:hAnsi="Arial"/>
          <w:rFonts w:ascii="Arial" w:hAnsi="Arial" w:eastAsia="SimSun"/>
          <w:b w:val="0"/>
          <w:i w:val="0"/>
          <w:color w:val="1F1F1F"/>
          <w:sz w:val="20"/>
        </w:rPr>
        <w:t>：主流开源推理系统，仅支持 GPU/Host 基础管理；</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CachedAttention / FlashGen</w:t>
      </w:r>
      <w:r>
        <w:rPr>
          <w:rFonts w:ascii="Arial" w:hAnsi="Arial"/>
          <w:rFonts w:ascii="Arial" w:hAnsi="Arial" w:eastAsia="SimSun"/>
          <w:b w:val="0"/>
          <w:i w:val="0"/>
          <w:color w:val="1F1F1F"/>
          <w:sz w:val="20"/>
        </w:rPr>
        <w:t>：学术界先进的二级分层 KVCache 卸载系统；</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Ideal-Cache</w:t>
      </w:r>
      <w:r>
        <w:rPr>
          <w:rFonts w:ascii="Arial" w:hAnsi="Arial"/>
          <w:rFonts w:ascii="Arial" w:hAnsi="Arial" w:eastAsia="SimSun"/>
          <w:b w:val="0"/>
          <w:i w:val="0"/>
          <w:color w:val="1F1F1F"/>
          <w:sz w:val="20"/>
        </w:rPr>
        <w:t>：假设所有历史 KV 均命中最快性能层的理想理论上限。</w:t>
      </w:r>
    </w:p>
    <w:p>
      <w:pPr>
        <w:keepNext/>
        <w:spacing w:before="200" w:after="80" w:line="276" w:lineRule="auto"/>
      </w:pPr>
      <w:r>
        <w:rPr>
          <w:rFonts w:ascii="Arial" w:hAnsi="Arial"/>
          <w:rFonts w:ascii="Arial" w:hAnsi="Arial" w:eastAsia="Microsoft YaHei"/>
          <w:b/>
          <w:i w:val="0"/>
          <w:color w:val="2F5597"/>
          <w:sz w:val="23"/>
        </w:rPr>
        <w:t>3.2 核心量化实验数据与图表对照</w:t>
      </w:r>
    </w:p>
    <w:p>
      <w:pPr>
        <w:keepNext/>
        <w:spacing w:before="160" w:after="40"/>
        <w:jc w:val="center"/>
      </w:pPr>
      <w:r>
        <w:drawing>
          <wp:inline xmlns:a="http://schemas.openxmlformats.org/drawingml/2006/main" xmlns:pic="http://schemas.openxmlformats.org/drawingml/2006/picture">
            <wp:extent cx="5303520" cy="1285932"/>
            <wp:docPr id="3" name="Picture 3"/>
            <wp:cNvGraphicFramePr>
              <a:graphicFrameLocks noChangeAspect="1"/>
            </wp:cNvGraphicFramePr>
            <a:graphic>
              <a:graphicData uri="http://schemas.openxmlformats.org/drawingml/2006/picture">
                <pic:pic>
                  <pic:nvPicPr>
                    <pic:cNvPr id="0" name="bidaw_fig15_model_latency.png"/>
                    <pic:cNvPicPr/>
                  </pic:nvPicPr>
                  <pic:blipFill>
                    <a:blip r:embed="rId13"/>
                    <a:stretch>
                      <a:fillRect/>
                    </a:stretch>
                  </pic:blipFill>
                  <pic:spPr>
                    <a:xfrm>
                      <a:off x="0" y="0"/>
                      <a:ext cx="5303520" cy="1285932"/>
                    </a:xfrm>
                    <a:prstGeom prst="rect"/>
                  </pic:spPr>
                </pic:pic>
              </a:graphicData>
            </a:graphic>
          </wp:inline>
        </w:drawing>
      </w:r>
    </w:p>
    <w:p>
      <w:pPr>
        <w:spacing w:before="40" w:after="160"/>
        <w:jc w:val="center"/>
      </w:pPr>
      <w:r>
        <w:rPr>
          <w:rFonts w:ascii="Arial" w:hAnsi="Arial"/>
          <w:rFonts w:ascii="Arial" w:hAnsi="Arial" w:eastAsia="SimSun"/>
          <w:b w:val="0"/>
          <w:i/>
          <w:color w:val="666666"/>
          <w:sz w:val="18"/>
        </w:rPr>
        <w:t>图：Figure 15: 五个大模型上的平均端到端响应时延对比</w:t>
      </w:r>
    </w:p>
    <w:p>
      <w:pPr>
        <w:spacing w:before="0" w:after="100" w:line="336" w:lineRule="auto"/>
      </w:pPr>
      <w:r>
        <w:rPr>
          <w:rFonts w:ascii="Arial" w:hAnsi="Arial"/>
          <w:rFonts w:ascii="Arial" w:hAnsi="Arial" w:eastAsia="SimSun"/>
          <w:b w:val="0"/>
          <w:i w:val="0"/>
          <w:color w:val="1F1F1F"/>
          <w:sz w:val="20"/>
        </w:rPr>
        <w:t>*图 3：五个主流模型上的平均请求端到端响应时延对比（摘自 Bidaw 原文 Fig. 15）*</w:t>
      </w:r>
    </w:p>
    <w:p>
      <w:pPr>
        <w:keepNext/>
        <w:spacing w:before="160" w:after="40"/>
        <w:jc w:val="center"/>
      </w:pPr>
      <w:r>
        <w:drawing>
          <wp:inline xmlns:a="http://schemas.openxmlformats.org/drawingml/2006/main" xmlns:pic="http://schemas.openxmlformats.org/drawingml/2006/picture">
            <wp:extent cx="5303520" cy="2219937"/>
            <wp:docPr id="4" name="Picture 4"/>
            <wp:cNvGraphicFramePr>
              <a:graphicFrameLocks noChangeAspect="1"/>
            </wp:cNvGraphicFramePr>
            <a:graphic>
              <a:graphicData uri="http://schemas.openxmlformats.org/drawingml/2006/picture">
                <pic:pic>
                  <pic:nvPicPr>
                    <pic:cNvPr id="0" name="bidaw_fig19_queue_time.png"/>
                    <pic:cNvPicPr/>
                  </pic:nvPicPr>
                  <pic:blipFill>
                    <a:blip r:embed="rId14"/>
                    <a:stretch>
                      <a:fillRect/>
                    </a:stretch>
                  </pic:blipFill>
                  <pic:spPr>
                    <a:xfrm>
                      <a:off x="0" y="0"/>
                      <a:ext cx="5303520" cy="2219937"/>
                    </a:xfrm>
                    <a:prstGeom prst="rect"/>
                  </pic:spPr>
                </pic:pic>
              </a:graphicData>
            </a:graphic>
          </wp:inline>
        </w:drawing>
      </w:r>
    </w:p>
    <w:p>
      <w:pPr>
        <w:spacing w:before="40" w:after="160"/>
        <w:jc w:val="center"/>
      </w:pPr>
      <w:r>
        <w:rPr>
          <w:rFonts w:ascii="Arial" w:hAnsi="Arial"/>
          <w:rFonts w:ascii="Arial" w:hAnsi="Arial" w:eastAsia="SimSun"/>
          <w:b w:val="0"/>
          <w:i/>
          <w:color w:val="666666"/>
          <w:sz w:val="18"/>
        </w:rPr>
        <w:t>图：Figure 19: 请求在 GPU 计算前的排队耗时 CDF 分布</w:t>
      </w:r>
    </w:p>
    <w:p>
      <w:pPr>
        <w:spacing w:before="0" w:after="100" w:line="336" w:lineRule="auto"/>
      </w:pPr>
      <w:r>
        <w:rPr>
          <w:rFonts w:ascii="Arial" w:hAnsi="Arial"/>
          <w:rFonts w:ascii="Arial" w:hAnsi="Arial" w:eastAsia="SimSun"/>
          <w:b w:val="0"/>
          <w:i w:val="0"/>
          <w:color w:val="1F1F1F"/>
          <w:sz w:val="20"/>
        </w:rPr>
        <w:t>*图 4：请求在 GPU 计算前的排队耗时 CDF 分布（I/O 感知 vs FCFS，摘自 Bidaw 原文 Fig. 19）*</w:t>
      </w:r>
    </w:p>
    <w:p>
      <w:pPr>
        <w:keepNext/>
        <w:spacing w:before="160" w:after="40"/>
        <w:jc w:val="center"/>
      </w:pPr>
      <w:r>
        <w:drawing>
          <wp:inline xmlns:a="http://schemas.openxmlformats.org/drawingml/2006/main" xmlns:pic="http://schemas.openxmlformats.org/drawingml/2006/picture">
            <wp:extent cx="5303520" cy="1935282"/>
            <wp:docPr id="5" name="Picture 5"/>
            <wp:cNvGraphicFramePr>
              <a:graphicFrameLocks noChangeAspect="1"/>
            </wp:cNvGraphicFramePr>
            <a:graphic>
              <a:graphicData uri="http://schemas.openxmlformats.org/drawingml/2006/picture">
                <pic:pic>
                  <pic:nvPicPr>
                    <pic:cNvPr id="0" name="bidaw_fig20_overhead.png"/>
                    <pic:cNvPicPr/>
                  </pic:nvPicPr>
                  <pic:blipFill>
                    <a:blip r:embed="rId15"/>
                    <a:stretch>
                      <a:fillRect/>
                    </a:stretch>
                  </pic:blipFill>
                  <pic:spPr>
                    <a:xfrm>
                      <a:off x="0" y="0"/>
                      <a:ext cx="5303520" cy="1935282"/>
                    </a:xfrm>
                    <a:prstGeom prst="rect"/>
                  </pic:spPr>
                </pic:pic>
              </a:graphicData>
            </a:graphic>
          </wp:inline>
        </w:drawing>
      </w:r>
    </w:p>
    <w:p>
      <w:pPr>
        <w:spacing w:before="40" w:after="160"/>
        <w:jc w:val="center"/>
      </w:pPr>
      <w:r>
        <w:rPr>
          <w:rFonts w:ascii="Arial" w:hAnsi="Arial"/>
          <w:rFonts w:ascii="Arial" w:hAnsi="Arial" w:eastAsia="SimSun"/>
          <w:b w:val="0"/>
          <w:i/>
          <w:color w:val="666666"/>
          <w:sz w:val="18"/>
        </w:rPr>
        <w:t>图：Figure 20: 调度、驱逐与张量重构的运行时开销解构</w:t>
      </w:r>
    </w:p>
    <w:p>
      <w:pPr>
        <w:spacing w:before="0" w:after="100" w:line="336" w:lineRule="auto"/>
      </w:pPr>
      <w:r>
        <w:rPr>
          <w:rFonts w:ascii="Arial" w:hAnsi="Arial"/>
          <w:rFonts w:ascii="Arial" w:hAnsi="Arial" w:eastAsia="SimSun"/>
          <w:b w:val="0"/>
          <w:i w:val="0"/>
          <w:color w:val="1F1F1F"/>
          <w:sz w:val="20"/>
        </w:rPr>
        <w:t>*图 5：运行时控制面开销解构（调度开销 0.62ms，驱逐 0.35ms，摘自 Bidaw 原文 Fig. 20）*</w:t>
      </w:r>
    </w:p>
    <w:p>
      <w:pPr>
        <w:keepNext/>
        <w:spacing w:before="160" w:after="40"/>
        <w:jc w:val="center"/>
      </w:pPr>
      <w:r>
        <w:drawing>
          <wp:inline xmlns:a="http://schemas.openxmlformats.org/drawingml/2006/main" xmlns:pic="http://schemas.openxmlformats.org/drawingml/2006/picture">
            <wp:extent cx="5303520" cy="3443208"/>
            <wp:docPr id="6" name="Picture 6"/>
            <wp:cNvGraphicFramePr>
              <a:graphicFrameLocks noChangeAspect="1"/>
            </wp:cNvGraphicFramePr>
            <a:graphic>
              <a:graphicData uri="http://schemas.openxmlformats.org/drawingml/2006/picture">
                <pic:pic>
                  <pic:nvPicPr>
                    <pic:cNvPr id="0" name="bidaw_fig22_tail_latency.png"/>
                    <pic:cNvPicPr/>
                  </pic:nvPicPr>
                  <pic:blipFill>
                    <a:blip r:embed="rId16"/>
                    <a:stretch>
                      <a:fillRect/>
                    </a:stretch>
                  </pic:blipFill>
                  <pic:spPr>
                    <a:xfrm>
                      <a:off x="0" y="0"/>
                      <a:ext cx="5303520" cy="3443208"/>
                    </a:xfrm>
                    <a:prstGeom prst="rect"/>
                  </pic:spPr>
                </pic:pic>
              </a:graphicData>
            </a:graphic>
          </wp:inline>
        </w:drawing>
      </w:r>
    </w:p>
    <w:p>
      <w:pPr>
        <w:spacing w:before="40" w:after="160"/>
        <w:jc w:val="center"/>
      </w:pPr>
      <w:r>
        <w:rPr>
          <w:rFonts w:ascii="Arial" w:hAnsi="Arial"/>
          <w:rFonts w:ascii="Arial" w:hAnsi="Arial" w:eastAsia="SimSun"/>
          <w:b w:val="0"/>
          <w:i/>
          <w:color w:val="666666"/>
          <w:sz w:val="18"/>
        </w:rPr>
        <w:t>图：Figure 22: OPT-30B 模型在不同并发下的尾部时延对比</w:t>
      </w:r>
    </w:p>
    <w:p>
      <w:pPr>
        <w:spacing w:before="0" w:after="100" w:line="336" w:lineRule="auto"/>
      </w:pPr>
      <w:r>
        <w:rPr>
          <w:rFonts w:ascii="Arial" w:hAnsi="Arial"/>
          <w:rFonts w:ascii="Arial" w:hAnsi="Arial" w:eastAsia="SimSun"/>
          <w:b w:val="0"/>
          <w:i w:val="0"/>
          <w:color w:val="1F1F1F"/>
          <w:sz w:val="20"/>
        </w:rPr>
        <w:t>*图 6：OPT-30B 模型的 P90/P95/P99 尾部响应时延对比（摘自 Bidaw 原文 Fig. 22）*</w:t>
      </w:r>
    </w:p>
    <w:tbl>
      <w:tblPr>
        <w:tblW w:type="auto" w:w="0"/>
        <w:jc w:val="center"/>
        <w:tblLayout w:type="autofit"/>
        <w:tblLook w:firstColumn="1" w:firstRow="1" w:lastColumn="0" w:lastRow="0" w:noHBand="0" w:noVBand="1" w:val="04A0"/>
        <w:tblBorders>
          <w:top w:val="single" w:sz="4" w:space="0" w:color="D9D9D9"/>
          <w:bottom w:val="single" w:sz="4" w:space="0" w:color="D9D9D9"/>
          <w:left w:val="single" w:sz="4" w:space="0" w:color="D9D9D9"/>
          <w:right w:val="single" w:sz="4" w:space="0" w:color="D9D9D9"/>
          <w:insideH w:val="single" w:sz="4" w:space="0" w:color="D9D9D9"/>
          <w:insideV w:val="single" w:sz="4" w:space="0" w:color="D9D9D9"/>
        </w:tblBorders>
      </w:tblPr>
      <w:tblGrid>
        <w:gridCol w:w="2256"/>
        <w:gridCol w:w="2256"/>
        <w:gridCol w:w="2256"/>
        <w:gridCol w:w="2256"/>
      </w:tblGrid>
      <w:tr>
        <w:trPr>
          <w:cantSplit/>
          <w:tblHeader/>
        </w:trPr>
        <w:tc>
          <w:tcPr>
            <w:tcW w:type="dxa" w:w="2256"/>
            <w:tcMar>
              <w:top w:w="100" w:type="dxa"/>
              <w:bottom w:w="100" w:type="dxa"/>
              <w:left w:w="140" w:type="dxa"/>
              <w:right w:w="140" w:type="dxa"/>
            </w:tcMar>
            <w:shd w:fill="17365D"/>
          </w:tcPr>
          <w:p>
            <w:pPr>
              <w:spacing w:before="40" w:after="40"/>
              <w:jc w:val="center"/>
            </w:pPr>
            <w:r>
              <w:rPr>
                <w:rFonts w:ascii="Arial" w:hAnsi="Arial"/>
                <w:rFonts w:ascii="Arial" w:hAnsi="Arial" w:eastAsia="Microsoft YaHei"/>
                <w:b/>
                <w:i w:val="0"/>
                <w:color w:val="FFFFFF"/>
                <w:sz w:val="19"/>
              </w:rPr>
              <w:t>评估维度</w:t>
            </w:r>
          </w:p>
        </w:tc>
        <w:tc>
          <w:tcPr>
            <w:tcW w:type="dxa" w:w="2256"/>
            <w:tcMar>
              <w:top w:w="100" w:type="dxa"/>
              <w:bottom w:w="100" w:type="dxa"/>
              <w:left w:w="140" w:type="dxa"/>
              <w:right w:w="140" w:type="dxa"/>
            </w:tcMar>
            <w:shd w:fill="17365D"/>
          </w:tcPr>
          <w:p>
            <w:pPr>
              <w:spacing w:before="40" w:after="40"/>
              <w:jc w:val="center"/>
            </w:pPr>
            <w:r>
              <w:rPr>
                <w:rFonts w:ascii="Arial" w:hAnsi="Arial"/>
                <w:rFonts w:ascii="Arial" w:hAnsi="Arial" w:eastAsia="Microsoft YaHei"/>
                <w:b/>
                <w:i w:val="0"/>
                <w:color w:val="FFFFFF"/>
                <w:sz w:val="19"/>
              </w:rPr>
              <w:t>Bidaw 实测表现</w:t>
            </w:r>
          </w:p>
        </w:tc>
        <w:tc>
          <w:tcPr>
            <w:tcW w:type="dxa" w:w="2256"/>
            <w:tcMar>
              <w:top w:w="100" w:type="dxa"/>
              <w:bottom w:w="100" w:type="dxa"/>
              <w:left w:w="140" w:type="dxa"/>
              <w:right w:w="140" w:type="dxa"/>
            </w:tcMar>
            <w:shd w:fill="17365D"/>
          </w:tcPr>
          <w:p>
            <w:pPr>
              <w:spacing w:before="40" w:after="40"/>
              <w:jc w:val="center"/>
            </w:pPr>
            <w:r>
              <w:rPr>
                <w:rFonts w:ascii="Arial" w:hAnsi="Arial"/>
                <w:rFonts w:ascii="Arial" w:hAnsi="Arial" w:eastAsia="Microsoft YaHei"/>
                <w:b/>
                <w:i w:val="0"/>
                <w:color w:val="FFFFFF"/>
                <w:sz w:val="19"/>
              </w:rPr>
              <w:t>业界既有基线表现（vLLM / FlashGen 等）</w:t>
            </w:r>
          </w:p>
        </w:tc>
        <w:tc>
          <w:tcPr>
            <w:tcW w:type="dxa" w:w="2256"/>
            <w:tcMar>
              <w:top w:w="100" w:type="dxa"/>
              <w:bottom w:w="100" w:type="dxa"/>
              <w:left w:w="140" w:type="dxa"/>
              <w:right w:w="140" w:type="dxa"/>
            </w:tcMar>
            <w:shd w:fill="17365D"/>
          </w:tcPr>
          <w:p>
            <w:pPr>
              <w:spacing w:before="40" w:after="40"/>
              <w:jc w:val="center"/>
            </w:pPr>
            <w:r>
              <w:rPr>
                <w:rFonts w:ascii="Arial" w:hAnsi="Arial"/>
                <w:rFonts w:ascii="Arial" w:hAnsi="Arial" w:eastAsia="Microsoft YaHei"/>
                <w:b/>
                <w:i w:val="0"/>
                <w:color w:val="FFFFFF"/>
                <w:sz w:val="19"/>
              </w:rPr>
              <w:t>体系结构归因与量化差距</w:t>
            </w:r>
          </w:p>
        </w:tc>
      </w:tr>
      <w:tr>
        <w:trPr>
          <w:cantSplit/>
        </w:trPr>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i w:val="0"/>
                <w:color w:val="1F1F1F"/>
                <w:sz w:val="18"/>
              </w:rPr>
              <w:t>端到端平均响应时延</w:t>
            </w:r>
          </w:p>
        </w:tc>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较基线方案</w:t>
            </w:r>
            <w:r>
              <w:rPr>
                <w:rFonts w:ascii="Arial" w:hAnsi="Arial"/>
                <w:rFonts w:ascii="Arial" w:hAnsi="Arial" w:eastAsia="SimSun"/>
                <w:b/>
                <w:i w:val="0"/>
                <w:color w:val="1F1F1F"/>
                <w:sz w:val="18"/>
              </w:rPr>
              <w:t>加速比高达 3.58 倍</w:t>
            </w:r>
            <w:r>
              <w:rPr>
                <w:rFonts w:ascii="Arial" w:hAnsi="Arial"/>
                <w:rFonts w:ascii="Arial" w:hAnsi="Arial" w:eastAsia="SimSun"/>
                <w:b w:val="0"/>
                <w:i w:val="0"/>
                <w:color w:val="1F1F1F"/>
                <w:sz w:val="18"/>
              </w:rPr>
              <w:t>，平均响应时延降低 56.9% ~ 72.1%</w:t>
            </w:r>
          </w:p>
        </w:tc>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传统系统平均耗时居高不下，随会话轮数增加性能严重退化</w:t>
            </w:r>
          </w:p>
        </w:tc>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双队列消除慢速 I/O 队头阻塞，结合高效淘汰大幅降低容量层穿透次数。</w:t>
            </w:r>
          </w:p>
        </w:tc>
      </w:tr>
      <w:tr>
        <w:trPr>
          <w:cantSplit/>
        </w:trPr>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i w:val="0"/>
                <w:color w:val="1F1F1F"/>
                <w:sz w:val="18"/>
              </w:rPr>
              <w:t>系统有效并发服务容量</w:t>
            </w:r>
          </w:p>
        </w:tc>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在达成相同 SLO 延时门限下，</w:t>
            </w:r>
            <w:r>
              <w:rPr>
                <w:rFonts w:ascii="Arial" w:hAnsi="Arial"/>
                <w:rFonts w:ascii="Arial" w:hAnsi="Arial" w:eastAsia="SimSun"/>
                <w:b/>
                <w:i w:val="0"/>
                <w:color w:val="1F1F1F"/>
                <w:sz w:val="18"/>
              </w:rPr>
              <w:t>可支持的并发到达率提升 1.43 ~ 1.83 倍</w:t>
            </w:r>
          </w:p>
        </w:tc>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既有方案到达率达到 20 users/min 时即发生雪崩式超时</w:t>
            </w:r>
          </w:p>
        </w:tc>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性能层命中率提升，释放出更多算力与存储带宽专注于有效服务。</w:t>
            </w:r>
          </w:p>
        </w:tc>
      </w:tr>
      <w:tr>
        <w:trPr>
          <w:cantSplit/>
        </w:trPr>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i w:val="0"/>
                <w:color w:val="1F1F1F"/>
                <w:sz w:val="18"/>
              </w:rPr>
              <w:t>GPU 计算前排队时延</w:t>
            </w:r>
          </w:p>
        </w:tc>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 xml:space="preserve">平均排队时延仅为 </w:t>
            </w:r>
            <w:r>
              <w:rPr>
                <w:rFonts w:ascii="Arial" w:hAnsi="Arial"/>
                <w:rFonts w:ascii="Arial" w:hAnsi="Arial" w:eastAsia="SimSun"/>
                <w:b/>
                <w:i w:val="0"/>
                <w:color w:val="1F1F1F"/>
                <w:sz w:val="18"/>
              </w:rPr>
              <w:t>2.45 秒</w:t>
            </w:r>
            <w:r>
              <w:rPr>
                <w:rFonts w:ascii="Arial" w:hAnsi="Arial"/>
                <w:rFonts w:ascii="Arial" w:hAnsi="Arial" w:eastAsia="SimSun"/>
                <w:b w:val="0"/>
                <w:i w:val="0"/>
                <w:color w:val="1F1F1F"/>
                <w:sz w:val="18"/>
              </w:rPr>
              <w:t>，CDF 曲线急剧左移收敛</w:t>
            </w:r>
          </w:p>
        </w:tc>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 xml:space="preserve">传统 FCFS 盲目排队平均耗时达 </w:t>
            </w:r>
            <w:r>
              <w:rPr>
                <w:rFonts w:ascii="Arial" w:hAnsi="Arial"/>
                <w:rFonts w:ascii="Arial" w:hAnsi="Arial" w:eastAsia="SimSun"/>
                <w:b/>
                <w:i w:val="0"/>
                <w:color w:val="1F1F1F"/>
                <w:sz w:val="18"/>
              </w:rPr>
              <w:t>5.76 秒</w:t>
            </w:r>
            <w:r>
              <w:rPr>
                <w:rFonts w:ascii="Arial" w:hAnsi="Arial"/>
                <w:rFonts w:ascii="Arial" w:hAnsi="Arial" w:eastAsia="SimSun"/>
                <w:b w:val="0"/>
                <w:i w:val="0"/>
                <w:color w:val="1F1F1F"/>
                <w:sz w:val="18"/>
              </w:rPr>
              <w:t xml:space="preserve">（Bidaw 降低 </w:t>
            </w:r>
            <w:r>
              <w:rPr>
                <w:rFonts w:ascii="Arial" w:hAnsi="Arial"/>
                <w:rFonts w:ascii="Arial" w:hAnsi="Arial" w:eastAsia="SimSun"/>
                <w:b/>
                <w:i w:val="0"/>
                <w:color w:val="1F1F1F"/>
                <w:sz w:val="18"/>
              </w:rPr>
              <w:t>57.5%</w:t>
            </w:r>
            <w:r>
              <w:rPr>
                <w:rFonts w:ascii="Arial" w:hAnsi="Arial"/>
                <w:rFonts w:ascii="Arial" w:hAnsi="Arial" w:eastAsia="SimSun"/>
                <w:b w:val="0"/>
                <w:i w:val="0"/>
                <w:color w:val="1F1F1F"/>
                <w:sz w:val="18"/>
              </w:rPr>
              <w:t>）</w:t>
            </w:r>
          </w:p>
        </w:tc>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Ready Queue 让已就绪请求优先计算，disk-HRRN 加速容量层准备。</w:t>
            </w:r>
          </w:p>
        </w:tc>
      </w:tr>
      <w:tr>
        <w:trPr>
          <w:cantSplit/>
        </w:trPr>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i w:val="0"/>
                <w:color w:val="1F1F1F"/>
                <w:sz w:val="18"/>
              </w:rPr>
              <w:t>性能层缓存 Miss Rate</w:t>
            </w:r>
          </w:p>
        </w:tc>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OPT-13B 下 Miss Rate 较队列增强方案</w:t>
            </w:r>
            <w:r>
              <w:rPr>
                <w:rFonts w:ascii="Arial" w:hAnsi="Arial"/>
                <w:rFonts w:ascii="Arial" w:hAnsi="Arial" w:eastAsia="SimSun"/>
                <w:b/>
                <w:i w:val="0"/>
                <w:color w:val="1F1F1F"/>
                <w:sz w:val="18"/>
              </w:rPr>
              <w:t>降低 57.6%</w:t>
            </w:r>
            <w:r>
              <w:rPr>
                <w:rFonts w:ascii="Arial" w:hAnsi="Arial"/>
                <w:rFonts w:ascii="Arial" w:hAnsi="Arial" w:eastAsia="SimSun"/>
                <w:b w:val="0"/>
                <w:i w:val="0"/>
                <w:color w:val="1F1F1F"/>
                <w:sz w:val="18"/>
              </w:rPr>
              <w:t xml:space="preserve">，较 LRU </w:t>
            </w:r>
            <w:r>
              <w:rPr>
                <w:rFonts w:ascii="Arial" w:hAnsi="Arial"/>
                <w:rFonts w:ascii="Arial" w:hAnsi="Arial" w:eastAsia="SimSun"/>
                <w:b/>
                <w:i w:val="0"/>
                <w:color w:val="1F1F1F"/>
                <w:sz w:val="18"/>
              </w:rPr>
              <w:t>降低 69.9%</w:t>
            </w:r>
          </w:p>
        </w:tc>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 xml:space="preserve">LRU/FIFO/LFU 在两层分层下 Miss Rate 高达 </w:t>
            </w:r>
            <w:r>
              <w:rPr>
                <w:rFonts w:ascii="Arial" w:hAnsi="Arial"/>
                <w:rFonts w:ascii="Arial" w:hAnsi="Arial" w:eastAsia="SimSun"/>
                <w:b/>
                <w:i w:val="0"/>
                <w:color w:val="1F1F1F"/>
                <w:sz w:val="18"/>
              </w:rPr>
              <w:t>80% 左右</w:t>
            </w:r>
          </w:p>
        </w:tc>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捕获上一轮回答长度预测重用距离，利用 Ghost Cache 淘汰无潜力对象。</w:t>
            </w:r>
          </w:p>
        </w:tc>
      </w:tr>
      <w:tr>
        <w:trPr>
          <w:cantSplit/>
        </w:trPr>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i w:val="0"/>
                <w:color w:val="1F1F1F"/>
                <w:sz w:val="18"/>
              </w:rPr>
              <w:t>P99 尾部时延稳定性</w:t>
            </w:r>
          </w:p>
        </w:tc>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 xml:space="preserve">OPT-30B 下较 CachedAttention P99 降低 </w:t>
            </w:r>
            <w:r>
              <w:rPr>
                <w:rFonts w:ascii="Arial" w:hAnsi="Arial"/>
                <w:rFonts w:ascii="Arial" w:hAnsi="Arial" w:eastAsia="SimSun"/>
                <w:b/>
                <w:i w:val="0"/>
                <w:color w:val="1F1F1F"/>
                <w:sz w:val="18"/>
              </w:rPr>
              <w:t>47.03%</w:t>
            </w:r>
            <w:r>
              <w:rPr>
                <w:rFonts w:ascii="Arial" w:hAnsi="Arial"/>
                <w:rFonts w:ascii="Arial" w:hAnsi="Arial" w:eastAsia="SimSun"/>
                <w:b w:val="0"/>
                <w:i w:val="0"/>
                <w:color w:val="1F1F1F"/>
                <w:sz w:val="18"/>
              </w:rPr>
              <w:t xml:space="preserve">，较 FlashGen 降低 </w:t>
            </w:r>
            <w:r>
              <w:rPr>
                <w:rFonts w:ascii="Arial" w:hAnsi="Arial"/>
                <w:rFonts w:ascii="Arial" w:hAnsi="Arial" w:eastAsia="SimSun"/>
                <w:b/>
                <w:i w:val="0"/>
                <w:color w:val="1F1F1F"/>
                <w:sz w:val="18"/>
              </w:rPr>
              <w:t>56.81%</w:t>
            </w:r>
          </w:p>
        </w:tc>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传统方案在大并发下长尾急剧恶化（P99 突破数十秒）</w:t>
            </w:r>
          </w:p>
        </w:tc>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disk-HRRN 避免大对象饿死，结合原始时间戳插入机制平滑尾部时延。</w:t>
            </w:r>
          </w:p>
        </w:tc>
      </w:tr>
      <w:tr>
        <w:trPr>
          <w:cantSplit/>
        </w:trPr>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i w:val="0"/>
                <w:color w:val="1F1F1F"/>
                <w:sz w:val="18"/>
              </w:rPr>
              <w:t>运行时控制面调度开销</w:t>
            </w:r>
          </w:p>
        </w:tc>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 xml:space="preserve">单次在线调度开销仅 </w:t>
            </w:r>
            <w:r>
              <w:rPr>
                <w:rFonts w:ascii="Arial" w:hAnsi="Arial"/>
                <w:rFonts w:ascii="Arial" w:hAnsi="Arial" w:eastAsia="SimSun"/>
                <w:b/>
                <w:i w:val="0"/>
                <w:color w:val="1F1F1F"/>
                <w:sz w:val="18"/>
              </w:rPr>
              <w:t>0.62 ms</w:t>
            </w:r>
            <w:r>
              <w:rPr>
                <w:rFonts w:ascii="Arial" w:hAnsi="Arial"/>
                <w:rFonts w:ascii="Arial" w:hAnsi="Arial" w:eastAsia="SimSun"/>
                <w:b w:val="0"/>
                <w:i w:val="0"/>
                <w:color w:val="1F1F1F"/>
                <w:sz w:val="18"/>
              </w:rPr>
              <w:t xml:space="preserve">，在线淘汰判定耗时仅 </w:t>
            </w:r>
            <w:r>
              <w:rPr>
                <w:rFonts w:ascii="Arial" w:hAnsi="Arial"/>
                <w:rFonts w:ascii="Arial" w:hAnsi="Arial" w:eastAsia="SimSun"/>
                <w:b/>
                <w:i w:val="0"/>
                <w:color w:val="1F1F1F"/>
                <w:sz w:val="18"/>
              </w:rPr>
              <w:t>0.35 ms</w:t>
            </w:r>
          </w:p>
        </w:tc>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静态策略虽无开销但导致系统性能暴跌数倍</w:t>
            </w:r>
          </w:p>
        </w:tc>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Ghost Cache 模拟完全沉淀在后台运行（2.86 ms），热路径极其轻量。</w:t>
            </w:r>
          </w:p>
        </w:tc>
      </w:tr>
    </w:tbl>
    <w:p>
      <w:pPr>
        <w:spacing w:before="40" w:after="80"/>
      </w:pPr>
    </w:p>
    <w:p>
      <w:pPr>
        <w:spacing w:before="80" w:after="120"/>
        <w:pBdr>
          <w:bottom w:val="single" w:sz="4" w:space="3" w:color="D9E2F3"/>
        </w:pBdr>
      </w:pPr>
    </w:p>
    <w:p>
      <w:pPr>
        <w:spacing w:before="280" w:after="120" w:line="276" w:lineRule="auto"/>
      </w:pPr>
      <w:r>
        <w:rPr>
          <w:rFonts w:ascii="Arial" w:hAnsi="Arial"/>
          <w:rFonts w:ascii="Arial" w:hAnsi="Arial" w:eastAsia="Microsoft YaHei"/>
          <w:b/>
          <w:i w:val="0"/>
          <w:color w:val="17365D"/>
          <w:sz w:val="27"/>
        </w:rPr>
        <w:t>四、 对我们统一异构 KVC 存储池项目的硬核技术启发</w:t>
      </w:r>
    </w:p>
    <w:p>
      <w:pPr>
        <w:spacing w:before="0" w:after="100" w:line="336" w:lineRule="auto"/>
      </w:pPr>
      <w:r>
        <w:rPr>
          <w:rFonts w:ascii="Arial" w:hAnsi="Arial"/>
          <w:rFonts w:ascii="Arial" w:hAnsi="Arial" w:eastAsia="SimSun"/>
          <w:b w:val="0"/>
          <w:i w:val="0"/>
          <w:color w:val="1F1F1F"/>
          <w:sz w:val="20"/>
        </w:rPr>
        <w:t>Bidaw 在单机两层存储下探索出的双向感知机理，对我们面向国产 AI 硬件的统一异构 KVCache 存储与调度底座建设具有极具价值的工程指导意义：</w:t>
      </w:r>
    </w:p>
    <w:p>
      <w:pPr>
        <w:spacing w:before="200" w:after="80" w:line="276" w:lineRule="auto"/>
      </w:pPr>
      <w:r>
        <w:rPr>
          <w:rFonts w:ascii="Arial" w:hAnsi="Arial"/>
          <w:rFonts w:ascii="Arial" w:hAnsi="Arial" w:eastAsia="Microsoft YaHei"/>
          <w:b/>
          <w:i w:val="0"/>
          <w:color w:val="2F5597"/>
          <w:sz w:val="23"/>
        </w:rPr>
        <w:t>4.1 动态选路决策引擎（QueryPlan）与 I/O 状态解耦机制</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启发</w:t>
      </w:r>
      <w:r>
        <w:rPr>
          <w:rFonts w:ascii="Arial" w:hAnsi="Arial"/>
          <w:rFonts w:ascii="Arial" w:hAnsi="Arial" w:eastAsia="SimSun"/>
          <w:b w:val="0"/>
          <w:i w:val="0"/>
          <w:color w:val="1F1F1F"/>
          <w:sz w:val="20"/>
        </w:rPr>
        <w:t>：传统系统将“计算准入”与“数据加载”强行捆绑，是引发严重 I/O 停顿与队头阻塞的元凶。Bidaw 的双队列解耦（Ready Queue 与 Preparing Queue）从架构上证明了：计算引擎必须感知存储侧的就绪状态；</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落地手段</w:t>
      </w:r>
      <w:r>
        <w:rPr>
          <w:rFonts w:ascii="Arial" w:hAnsi="Arial"/>
          <w:rFonts w:ascii="Arial" w:hAnsi="Arial" w:eastAsia="SimSun"/>
          <w:b w:val="0"/>
          <w:i w:val="0"/>
          <w:color w:val="1F1F1F"/>
          <w:sz w:val="20"/>
        </w:rPr>
        <w:t>：</w:t>
      </w:r>
    </w:p>
    <w:p>
      <w:pPr>
        <w:spacing w:before="30" w:after="60"/>
        <w:ind w:left="340"/>
      </w:pPr>
      <w:r>
        <w:rPr>
          <w:rFonts w:ascii="Arial" w:hAnsi="Arial"/>
          <w:rFonts w:ascii="Arial" w:hAnsi="Arial" w:eastAsia="Arial"/>
          <w:b/>
          <w:i w:val="0"/>
          <w:color w:val="17365D"/>
          <w:sz w:val="20"/>
        </w:rPr>
        <w:t xml:space="preserve">1. </w:t>
      </w:r>
      <w:r>
        <w:rPr>
          <w:rFonts w:ascii="Arial" w:hAnsi="Arial"/>
          <w:rFonts w:ascii="Arial" w:hAnsi="Arial" w:eastAsia="SimSun"/>
          <w:b w:val="0"/>
          <w:i w:val="0"/>
          <w:color w:val="1F1F1F"/>
          <w:sz w:val="20"/>
        </w:rPr>
        <w:t>在本项目的动态选路决策引擎（QueryPlan）中，引入版本化的预估就绪状态（</w:t>
      </w:r>
      <w:r>
        <w:rPr>
          <w:rFonts w:ascii="Consolas" w:hAnsi="Consolas"/>
          <w:rFonts w:ascii="Consolas" w:hAnsi="Consolas" w:eastAsia="Microsoft YaHei"/>
          <w:b w:val="0"/>
          <w:i w:val="0"/>
          <w:color w:val="1F1F1F"/>
          <w:sz w:val="19"/>
        </w:rPr>
        <w:t>predicted_ready_time_us</w:t>
      </w:r>
      <w:r>
        <w:rPr>
          <w:rFonts w:ascii="Arial" w:hAnsi="Arial"/>
          <w:rFonts w:ascii="Arial" w:hAnsi="Arial" w:eastAsia="SimSun"/>
          <w:b w:val="0"/>
          <w:i w:val="0"/>
          <w:color w:val="1F1F1F"/>
          <w:sz w:val="20"/>
        </w:rPr>
        <w:t xml:space="preserve"> 与 </w:t>
      </w:r>
      <w:r>
        <w:rPr>
          <w:rFonts w:ascii="Consolas" w:hAnsi="Consolas"/>
          <w:rFonts w:ascii="Consolas" w:hAnsi="Consolas" w:eastAsia="Microsoft YaHei"/>
          <w:b w:val="0"/>
          <w:i w:val="0"/>
          <w:color w:val="1F1F1F"/>
          <w:sz w:val="19"/>
        </w:rPr>
        <w:t>io_status</w:t>
      </w:r>
      <w:r>
        <w:rPr>
          <w:rFonts w:ascii="Arial" w:hAnsi="Arial"/>
          <w:rFonts w:ascii="Arial" w:hAnsi="Arial" w:eastAsia="SimSun"/>
          <w:b w:val="0"/>
          <w:i w:val="0"/>
          <w:color w:val="1F1F1F"/>
          <w:sz w:val="20"/>
        </w:rPr>
        <w:t>）；</w:t>
      </w:r>
    </w:p>
    <w:p>
      <w:pPr>
        <w:spacing w:before="30" w:after="60"/>
        <w:ind w:left="340"/>
      </w:pPr>
      <w:r>
        <w:rPr>
          <w:rFonts w:ascii="Arial" w:hAnsi="Arial"/>
          <w:rFonts w:ascii="Arial" w:hAnsi="Arial" w:eastAsia="Arial"/>
          <w:b/>
          <w:i w:val="0"/>
          <w:color w:val="17365D"/>
          <w:sz w:val="20"/>
        </w:rPr>
        <w:t xml:space="preserve">2. </w:t>
      </w:r>
      <w:r>
        <w:rPr>
          <w:rFonts w:ascii="Arial" w:hAnsi="Arial"/>
          <w:rFonts w:ascii="Arial" w:hAnsi="Arial" w:eastAsia="SimSun"/>
          <w:b w:val="0"/>
          <w:i w:val="0"/>
          <w:color w:val="1F1F1F"/>
          <w:sz w:val="20"/>
        </w:rPr>
        <w:t>调度引擎与数据拉取解耦：针对需要从慢速多介质分层存储（NVMe SSD）拉取或远端网络拉取的长前缀请求，提前派发异步拉取任务，仅当数据在本地 NPU HBM 就绪后才推入推理框架的活跃执行批次（Batch），彻底消灭推理算力等待数据加载的硬件空转。</w:t>
      </w:r>
    </w:p>
    <w:p>
      <w:pPr>
        <w:spacing w:before="200" w:after="80" w:line="276" w:lineRule="auto"/>
      </w:pPr>
      <w:r>
        <w:rPr>
          <w:rFonts w:ascii="Arial" w:hAnsi="Arial"/>
          <w:rFonts w:ascii="Arial" w:hAnsi="Arial" w:eastAsia="Microsoft YaHei"/>
          <w:b/>
          <w:i w:val="0"/>
          <w:color w:val="2F5597"/>
          <w:sz w:val="23"/>
        </w:rPr>
        <w:t>4.2 结合业务交互特征的多介质分层存储（Tiering）精细化驱逐</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启发</w:t>
      </w:r>
      <w:r>
        <w:rPr>
          <w:rFonts w:ascii="Arial" w:hAnsi="Arial"/>
          <w:rFonts w:ascii="Arial" w:hAnsi="Arial" w:eastAsia="SimSun"/>
          <w:b w:val="0"/>
          <w:i w:val="0"/>
          <w:color w:val="1F1F1F"/>
          <w:sz w:val="20"/>
        </w:rPr>
        <w:t>：单纯依赖通用的 LRU/LFU 无法应对多轮对话的长尾重用，Bidaw 将上一轮回答长度转化为加权重用距离下界，实现了高达 69.9% 的 Miss Rate 降低；</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落地手段</w:t>
      </w:r>
      <w:r>
        <w:rPr>
          <w:rFonts w:ascii="Arial" w:hAnsi="Arial"/>
          <w:rFonts w:ascii="Arial" w:hAnsi="Arial" w:eastAsia="SimSun"/>
          <w:b w:val="0"/>
          <w:i w:val="0"/>
          <w:color w:val="1F1F1F"/>
          <w:sz w:val="20"/>
        </w:rPr>
        <w:t>：</w:t>
      </w:r>
    </w:p>
    <w:p>
      <w:pPr>
        <w:spacing w:before="30" w:after="60"/>
        <w:ind w:left="340"/>
      </w:pPr>
      <w:r>
        <w:rPr>
          <w:rFonts w:ascii="Arial" w:hAnsi="Arial"/>
          <w:rFonts w:ascii="Arial" w:hAnsi="Arial" w:eastAsia="Arial"/>
          <w:b/>
          <w:i w:val="0"/>
          <w:color w:val="17365D"/>
          <w:sz w:val="20"/>
        </w:rPr>
        <w:t xml:space="preserve">1. </w:t>
      </w:r>
      <w:r>
        <w:rPr>
          <w:rFonts w:ascii="Arial" w:hAnsi="Arial"/>
          <w:rFonts w:ascii="Arial" w:hAnsi="Arial" w:eastAsia="SimSun"/>
          <w:b w:val="0"/>
          <w:i w:val="0"/>
          <w:color w:val="1F1F1F"/>
          <w:sz w:val="20"/>
        </w:rPr>
        <w:t>在本项目的多介质分层存储（Tiering / NVMe SSD 直达）中，在元数据层引入会话感知上下文属性（</w:t>
      </w:r>
      <w:r>
        <w:rPr>
          <w:rFonts w:ascii="Consolas" w:hAnsi="Consolas"/>
          <w:rFonts w:ascii="Consolas" w:hAnsi="Consolas" w:eastAsia="Microsoft YaHei"/>
          <w:b w:val="0"/>
          <w:i w:val="0"/>
          <w:color w:val="1F1F1F"/>
          <w:sz w:val="19"/>
        </w:rPr>
        <w:t>AccessIntent</w:t>
      </w:r>
      <w:r>
        <w:rPr>
          <w:rFonts w:ascii="Arial" w:hAnsi="Arial"/>
          <w:rFonts w:ascii="Arial" w:hAnsi="Arial" w:eastAsia="SimSun"/>
          <w:b w:val="0"/>
          <w:i w:val="0"/>
          <w:color w:val="1F1F1F"/>
          <w:sz w:val="20"/>
        </w:rPr>
        <w:t>）；</w:t>
      </w:r>
    </w:p>
    <w:p>
      <w:pPr>
        <w:spacing w:before="30" w:after="60"/>
        <w:ind w:left="340"/>
      </w:pPr>
      <w:r>
        <w:rPr>
          <w:rFonts w:ascii="Arial" w:hAnsi="Arial"/>
          <w:rFonts w:ascii="Arial" w:hAnsi="Arial" w:eastAsia="Arial"/>
          <w:b/>
          <w:i w:val="0"/>
          <w:color w:val="17365D"/>
          <w:sz w:val="20"/>
        </w:rPr>
        <w:t xml:space="preserve">2. </w:t>
      </w:r>
      <w:r>
        <w:rPr>
          <w:rFonts w:ascii="Arial" w:hAnsi="Arial"/>
          <w:rFonts w:ascii="Arial" w:hAnsi="Arial" w:eastAsia="SimSun"/>
          <w:b w:val="0"/>
          <w:i w:val="0"/>
          <w:color w:val="1F1F1F"/>
          <w:sz w:val="20"/>
        </w:rPr>
        <w:t>针对交互式业务流量，记录会话最新轮次生成的 Token 规模，作为后台分层块分配器（TierBlockAllocator）向下沉淀换出至 NVMe SSD 时的优先级修正参考；</w:t>
      </w:r>
    </w:p>
    <w:p>
      <w:pPr>
        <w:spacing w:before="30" w:after="60"/>
        <w:ind w:left="340"/>
      </w:pPr>
      <w:r>
        <w:rPr>
          <w:rFonts w:ascii="Arial" w:hAnsi="Arial"/>
          <w:rFonts w:ascii="Arial" w:hAnsi="Arial" w:eastAsia="Arial"/>
          <w:b/>
          <w:i w:val="0"/>
          <w:color w:val="17365D"/>
          <w:sz w:val="20"/>
        </w:rPr>
        <w:t xml:space="preserve">3. </w:t>
      </w:r>
      <w:r>
        <w:rPr>
          <w:rFonts w:ascii="Arial" w:hAnsi="Arial"/>
          <w:rFonts w:ascii="Arial" w:hAnsi="Arial" w:eastAsia="SimSun"/>
          <w:b w:val="0"/>
          <w:i w:val="0"/>
          <w:color w:val="1F1F1F"/>
          <w:sz w:val="20"/>
        </w:rPr>
        <w:t>保留硬核安全防线：严禁将此类经验启发式特征作为硬编码策略，系统必须支持动态灰度与一键旁路关闭，防止非交互式批处理流量或合成流量出现预测漂移。</w:t>
      </w:r>
    </w:p>
    <w:p>
      <w:pPr>
        <w:spacing w:before="200" w:after="80" w:line="276" w:lineRule="auto"/>
      </w:pPr>
      <w:r>
        <w:rPr>
          <w:rFonts w:ascii="Arial" w:hAnsi="Arial"/>
          <w:rFonts w:ascii="Arial" w:hAnsi="Arial" w:eastAsia="Microsoft YaHei"/>
          <w:b/>
          <w:i w:val="0"/>
          <w:color w:val="2F5597"/>
          <w:sz w:val="23"/>
        </w:rPr>
        <w:t>4.3 显存直读重构与空闲算力复用维度的审慎权衡</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启发</w:t>
      </w:r>
      <w:r>
        <w:rPr>
          <w:rFonts w:ascii="Arial" w:hAnsi="Arial"/>
          <w:rFonts w:ascii="Arial" w:hAnsi="Arial" w:eastAsia="SimSun"/>
          <w:b w:val="0"/>
          <w:i w:val="0"/>
          <w:color w:val="1F1F1F"/>
          <w:sz w:val="20"/>
        </w:rPr>
        <w:t>：Bidaw 探索了利用解码阶段闲置 GPU SM 算力将中间高密度激活张量（Tensor 6）重构为 KV 的路径；</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落地手段</w:t>
      </w:r>
      <w:r>
        <w:rPr>
          <w:rFonts w:ascii="Arial" w:hAnsi="Arial"/>
          <w:rFonts w:ascii="Arial" w:hAnsi="Arial" w:eastAsia="SimSun"/>
          <w:b w:val="0"/>
          <w:i w:val="0"/>
          <w:color w:val="1F1F1F"/>
          <w:sz w:val="20"/>
        </w:rPr>
        <w:t>：</w:t>
      </w:r>
    </w:p>
    <w:p>
      <w:pPr>
        <w:spacing w:before="30" w:after="60"/>
        <w:ind w:left="340"/>
      </w:pPr>
      <w:r>
        <w:rPr>
          <w:rFonts w:ascii="Arial" w:hAnsi="Arial"/>
          <w:rFonts w:ascii="Arial" w:hAnsi="Arial" w:eastAsia="Arial"/>
          <w:b/>
          <w:i w:val="0"/>
          <w:color w:val="17365D"/>
          <w:sz w:val="20"/>
        </w:rPr>
        <w:t xml:space="preserve">1. </w:t>
      </w:r>
      <w:r>
        <w:rPr>
          <w:rFonts w:ascii="Arial" w:hAnsi="Arial"/>
          <w:rFonts w:ascii="Arial" w:hAnsi="Arial" w:eastAsia="SimSun"/>
          <w:b w:val="0"/>
          <w:i w:val="0"/>
          <w:color w:val="1F1F1F"/>
          <w:sz w:val="20"/>
        </w:rPr>
        <w:t>确认该特性的物理边界：该设计高度依赖经典多头注意力（MHA）的参数结构，对于当前主流的分组查询注意力（GQA，如 Llama-3、Qwen-2.5）和多头潜在注意力（MLA，如 DeepSeek），KV 缓存本身已被大幅压缩，中间张量的体积优势已不明显；</w:t>
      </w:r>
    </w:p>
    <w:p>
      <w:pPr>
        <w:spacing w:before="30" w:after="60"/>
        <w:ind w:left="340"/>
      </w:pPr>
      <w:r>
        <w:rPr>
          <w:rFonts w:ascii="Arial" w:hAnsi="Arial"/>
          <w:rFonts w:ascii="Arial" w:hAnsi="Arial" w:eastAsia="Arial"/>
          <w:b/>
          <w:i w:val="0"/>
          <w:color w:val="17365D"/>
          <w:sz w:val="20"/>
        </w:rPr>
        <w:t xml:space="preserve">2. </w:t>
      </w:r>
      <w:r>
        <w:rPr>
          <w:rFonts w:ascii="Arial" w:hAnsi="Arial"/>
          <w:rFonts w:ascii="Arial" w:hAnsi="Arial" w:eastAsia="SimSun"/>
          <w:b w:val="0"/>
          <w:i w:val="0"/>
          <w:color w:val="1F1F1F"/>
          <w:sz w:val="20"/>
        </w:rPr>
        <w:t>在工程落地中，优先聚焦在底层通用通路——</w:t>
      </w:r>
      <w:r>
        <w:rPr>
          <w:rFonts w:ascii="Arial" w:hAnsi="Arial"/>
          <w:rFonts w:ascii="Arial" w:hAnsi="Arial" w:eastAsia="SimSun"/>
          <w:b/>
          <w:i w:val="0"/>
          <w:color w:val="1F1F1F"/>
          <w:sz w:val="20"/>
        </w:rPr>
        <w:t>Host CPU 零数据拷贝（CPU 仅负责下发控制指令，不参与正文数据搬运，Host Payload Touch Bytes 严格为 0）</w:t>
      </w:r>
      <w:r>
        <w:rPr>
          <w:rFonts w:ascii="Arial" w:hAnsi="Arial"/>
          <w:rFonts w:ascii="Arial" w:hAnsi="Arial" w:eastAsia="SimSun"/>
          <w:b w:val="0"/>
          <w:i w:val="0"/>
          <w:color w:val="1F1F1F"/>
          <w:sz w:val="20"/>
        </w:rPr>
        <w:t>与连续描述符编译（DescriptorCompiler），中间张量转换仅作为特定算子定制的进阶探索，不作为通用底座的准入门槛。</w:t>
      </w:r>
    </w:p>
    <w:p>
      <w:pPr>
        <w:spacing w:before="80" w:after="120"/>
        <w:pBdr>
          <w:bottom w:val="single" w:sz="4" w:space="3" w:color="D9E2F3"/>
        </w:pBdr>
      </w:pPr>
    </w:p>
    <w:p>
      <w:pPr>
        <w:spacing w:before="280" w:after="120" w:line="276" w:lineRule="auto"/>
      </w:pPr>
      <w:r>
        <w:rPr>
          <w:rFonts w:ascii="Arial" w:hAnsi="Arial"/>
          <w:rFonts w:ascii="Arial" w:hAnsi="Arial" w:eastAsia="Microsoft YaHei"/>
          <w:b/>
          <w:i w:val="0"/>
          <w:color w:val="17365D"/>
          <w:sz w:val="27"/>
        </w:rPr>
        <w:t>五、 对本项目立项与架构答辩的硬核技术背书</w:t>
      </w:r>
    </w:p>
    <w:p>
      <w:pPr>
        <w:spacing w:before="0" w:after="100" w:line="336" w:lineRule="auto"/>
      </w:pPr>
      <w:r>
        <w:rPr>
          <w:rFonts w:ascii="Arial" w:hAnsi="Arial"/>
          <w:rFonts w:ascii="Arial" w:hAnsi="Arial" w:eastAsia="SimSun"/>
          <w:b w:val="0"/>
          <w:i w:val="0"/>
          <w:color w:val="1F1F1F"/>
          <w:sz w:val="20"/>
        </w:rPr>
        <w:t>在立项答辩与架构技术评审中，针对评委与技术委员会可能提出的核心质询，Bidaw 提供了体系结构物理维度的硬核反驳依据：</w:t>
      </w:r>
    </w:p>
    <w:p>
      <w:pPr>
        <w:spacing w:before="200" w:after="80" w:line="276" w:lineRule="auto"/>
      </w:pPr>
      <w:r>
        <w:rPr>
          <w:rFonts w:ascii="Arial" w:hAnsi="Arial"/>
          <w:rFonts w:ascii="Arial" w:hAnsi="Arial" w:eastAsia="Microsoft YaHei"/>
          <w:b/>
          <w:i w:val="0"/>
          <w:color w:val="2F5597"/>
          <w:sz w:val="23"/>
        </w:rPr>
        <w:t>5.1 质询一：“大模型推理主要是计算受限，在存储侧投入大量研发搞两层分层与复杂调度，是不是‘为了做系统而做系统’的过度设计？”</w:t>
      </w:r>
    </w:p>
    <w:p>
      <w:pPr>
        <w:spacing w:before="80" w:after="100" w:line="312" w:lineRule="auto"/>
        <w:pBdr>
          <w:left w:val="single" w:sz="24" w:space="12" w:color="17365D"/>
        </w:pBdr>
        <w:shd w:fill="EEF4F9"/>
      </w:pPr>
      <w:r>
        <w:rPr>
          <w:rFonts w:ascii="Arial" w:hAnsi="Arial"/>
          <w:rFonts w:ascii="Arial" w:hAnsi="Arial" w:eastAsia="Microsoft YaHei"/>
          <w:b/>
          <w:i w:val="0"/>
          <w:color w:val="17365D"/>
          <w:sz w:val="19"/>
        </w:rPr>
        <w:t>硬核反驳背书</w:t>
      </w:r>
      <w:r>
        <w:rPr>
          <w:rFonts w:ascii="Arial" w:hAnsi="Arial"/>
          <w:rFonts w:ascii="Arial" w:hAnsi="Arial" w:eastAsia="Microsoft YaHei"/>
          <w:b w:val="0"/>
          <w:i w:val="0"/>
          <w:color w:val="17365D"/>
          <w:sz w:val="19"/>
        </w:rPr>
        <w:t>：</w:t>
      </w:r>
    </w:p>
    <w:p>
      <w:pPr>
        <w:spacing w:before="80" w:after="100" w:line="312" w:lineRule="auto"/>
        <w:pBdr>
          <w:left w:val="single" w:sz="24" w:space="12" w:color="17365D"/>
        </w:pBdr>
        <w:shd w:fill="EEF4F9"/>
      </w:pPr>
      <w:r>
        <w:rPr>
          <w:rFonts w:ascii="Arial" w:hAnsi="Arial"/>
          <w:rFonts w:ascii="Arial" w:hAnsi="Arial" w:eastAsia="Microsoft YaHei"/>
          <w:b w:val="0"/>
          <w:i w:val="0"/>
          <w:color w:val="17365D"/>
          <w:sz w:val="19"/>
        </w:rPr>
        <w:t xml:space="preserve">1. </w:t>
      </w:r>
      <w:r>
        <w:rPr>
          <w:rFonts w:ascii="Arial" w:hAnsi="Arial"/>
          <w:rFonts w:ascii="Arial" w:hAnsi="Arial" w:eastAsia="Microsoft YaHei"/>
          <w:b/>
          <w:i w:val="0"/>
          <w:color w:val="17365D"/>
          <w:sz w:val="19"/>
        </w:rPr>
        <w:t>第一性原理揭穿重算灾难</w:t>
      </w:r>
      <w:r>
        <w:rPr>
          <w:rFonts w:ascii="Arial" w:hAnsi="Arial"/>
          <w:rFonts w:ascii="Arial" w:hAnsi="Arial" w:eastAsia="Microsoft YaHei"/>
          <w:b w:val="0"/>
          <w:i w:val="0"/>
          <w:color w:val="17365D"/>
          <w:sz w:val="19"/>
        </w:rPr>
        <w:t>：在长上下文多轮交互中，如果不做存储分层保留，丢弃历史 KV 导致的重复 Prefill 计算量</w:t>
      </w:r>
      <w:r>
        <w:rPr>
          <w:rFonts w:ascii="Arial" w:hAnsi="Arial"/>
          <w:rFonts w:ascii="Arial" w:hAnsi="Arial" w:eastAsia="Microsoft YaHei"/>
          <w:b/>
          <w:i w:val="0"/>
          <w:color w:val="17365D"/>
          <w:sz w:val="19"/>
        </w:rPr>
        <w:t>高达总计算工作量的 93.1%</w:t>
      </w:r>
      <w:r>
        <w:rPr>
          <w:rFonts w:ascii="Arial" w:hAnsi="Arial"/>
          <w:rFonts w:ascii="Arial" w:hAnsi="Arial" w:eastAsia="Microsoft YaHei"/>
          <w:b w:val="0"/>
          <w:i w:val="0"/>
          <w:color w:val="17365D"/>
          <w:sz w:val="19"/>
        </w:rPr>
        <w:t>，这不仅不是过度设计，反而是算力释放的最核心抓手；</w:t>
      </w:r>
    </w:p>
    <w:p>
      <w:pPr>
        <w:spacing w:before="80" w:after="100" w:line="312" w:lineRule="auto"/>
        <w:pBdr>
          <w:left w:val="single" w:sz="24" w:space="12" w:color="17365D"/>
        </w:pBdr>
        <w:shd w:fill="EEF4F9"/>
      </w:pPr>
      <w:r>
        <w:rPr>
          <w:rFonts w:ascii="Arial" w:hAnsi="Arial"/>
          <w:rFonts w:ascii="Arial" w:hAnsi="Arial" w:eastAsia="Microsoft YaHei"/>
          <w:b w:val="0"/>
          <w:i w:val="0"/>
          <w:color w:val="17365D"/>
          <w:sz w:val="19"/>
        </w:rPr>
        <w:t xml:space="preserve">2. </w:t>
      </w:r>
      <w:r>
        <w:rPr>
          <w:rFonts w:ascii="Arial" w:hAnsi="Arial"/>
          <w:rFonts w:ascii="Arial" w:hAnsi="Arial" w:eastAsia="Microsoft YaHei"/>
          <w:b/>
          <w:i w:val="0"/>
          <w:color w:val="17365D"/>
          <w:sz w:val="19"/>
        </w:rPr>
        <w:t>物理带宽断崖迫使系统必须具备感知能力</w:t>
      </w:r>
      <w:r>
        <w:rPr>
          <w:rFonts w:ascii="Arial" w:hAnsi="Arial"/>
          <w:rFonts w:ascii="Arial" w:hAnsi="Arial" w:eastAsia="Microsoft YaHei"/>
          <w:b w:val="0"/>
          <w:i w:val="0"/>
          <w:color w:val="17365D"/>
          <w:sz w:val="19"/>
        </w:rPr>
        <w:t xml:space="preserve">：存储介质与显存之间存在两个数量级以上的带宽鸿沟，且 I/O 耗时变异系数超过 90%。FAST '26 Bidaw 的实测事实证明，若计算调度对存储状态盲目，系统响应时延会恶化 </w:t>
      </w:r>
      <w:r>
        <w:rPr>
          <w:rFonts w:ascii="Arial" w:hAnsi="Arial"/>
          <w:rFonts w:ascii="Arial" w:hAnsi="Arial" w:eastAsia="Microsoft YaHei"/>
          <w:b/>
          <w:i w:val="0"/>
          <w:color w:val="17365D"/>
          <w:sz w:val="19"/>
        </w:rPr>
        <w:t>3.58 倍</w:t>
      </w:r>
      <w:r>
        <w:rPr>
          <w:rFonts w:ascii="Arial" w:hAnsi="Arial"/>
          <w:rFonts w:ascii="Arial" w:hAnsi="Arial" w:eastAsia="Microsoft YaHei"/>
          <w:b w:val="0"/>
          <w:i w:val="0"/>
          <w:color w:val="17365D"/>
          <w:sz w:val="19"/>
        </w:rPr>
        <w:t xml:space="preserve">，排队延迟增加 </w:t>
      </w:r>
      <w:r>
        <w:rPr>
          <w:rFonts w:ascii="Arial" w:hAnsi="Arial"/>
          <w:rFonts w:ascii="Arial" w:hAnsi="Arial" w:eastAsia="Microsoft YaHei"/>
          <w:b/>
          <w:i w:val="0"/>
          <w:color w:val="17365D"/>
          <w:sz w:val="19"/>
        </w:rPr>
        <w:t>57.5%</w:t>
      </w:r>
      <w:r>
        <w:rPr>
          <w:rFonts w:ascii="Arial" w:hAnsi="Arial"/>
          <w:rFonts w:ascii="Arial" w:hAnsi="Arial" w:eastAsia="Microsoft YaHei"/>
          <w:b w:val="0"/>
          <w:i w:val="0"/>
          <w:color w:val="17365D"/>
          <w:sz w:val="19"/>
        </w:rPr>
        <w:t>。因此，“计算-存储协同调度”是发挥异构硬件物理潜力的必由之路，具备不可替代的工程落地价值。</w:t>
      </w:r>
    </w:p>
    <w:p>
      <w:pPr>
        <w:spacing w:before="200" w:after="80" w:line="276" w:lineRule="auto"/>
      </w:pPr>
      <w:r>
        <w:rPr>
          <w:rFonts w:ascii="Arial" w:hAnsi="Arial"/>
          <w:rFonts w:ascii="Arial" w:hAnsi="Arial" w:eastAsia="Microsoft YaHei"/>
          <w:b/>
          <w:i w:val="0"/>
          <w:color w:val="2F5597"/>
          <w:sz w:val="23"/>
        </w:rPr>
        <w:t>5.2 质询二：“在多轮交互中，直接沿用成熟的 LRU 或 LFU 淘汰机制不行吗？为什么还要做加权重用距离与复杂的淘汰算法？”</w:t>
      </w:r>
    </w:p>
    <w:p>
      <w:pPr>
        <w:spacing w:before="80" w:after="100" w:line="312" w:lineRule="auto"/>
        <w:pBdr>
          <w:left w:val="single" w:sz="24" w:space="12" w:color="17365D"/>
        </w:pBdr>
        <w:shd w:fill="EEF4F9"/>
      </w:pPr>
      <w:r>
        <w:rPr>
          <w:rFonts w:ascii="Arial" w:hAnsi="Arial"/>
          <w:rFonts w:ascii="Arial" w:hAnsi="Arial" w:eastAsia="Microsoft YaHei"/>
          <w:b/>
          <w:i w:val="0"/>
          <w:color w:val="17365D"/>
          <w:sz w:val="19"/>
        </w:rPr>
        <w:t>硬核反驳背书</w:t>
      </w:r>
      <w:r>
        <w:rPr>
          <w:rFonts w:ascii="Arial" w:hAnsi="Arial"/>
          <w:rFonts w:ascii="Arial" w:hAnsi="Arial" w:eastAsia="Microsoft YaHei"/>
          <w:b w:val="0"/>
          <w:i w:val="0"/>
          <w:color w:val="17365D"/>
          <w:sz w:val="19"/>
        </w:rPr>
        <w:t>：</w:t>
      </w:r>
    </w:p>
    <w:p>
      <w:pPr>
        <w:spacing w:before="80" w:after="100" w:line="312" w:lineRule="auto"/>
        <w:pBdr>
          <w:left w:val="single" w:sz="24" w:space="12" w:color="17365D"/>
        </w:pBdr>
        <w:shd w:fill="EEF4F9"/>
      </w:pPr>
      <w:r>
        <w:rPr>
          <w:rFonts w:ascii="Arial" w:hAnsi="Arial"/>
          <w:rFonts w:ascii="Arial" w:hAnsi="Arial" w:eastAsia="Microsoft YaHei"/>
          <w:b w:val="0"/>
          <w:i w:val="0"/>
          <w:color w:val="17365D"/>
          <w:sz w:val="19"/>
        </w:rPr>
        <w:t xml:space="preserve">1. </w:t>
      </w:r>
      <w:r>
        <w:rPr>
          <w:rFonts w:ascii="Arial" w:hAnsi="Arial"/>
          <w:rFonts w:ascii="Arial" w:hAnsi="Arial" w:eastAsia="Microsoft YaHei"/>
          <w:b/>
          <w:i w:val="0"/>
          <w:color w:val="17365D"/>
          <w:sz w:val="19"/>
        </w:rPr>
        <w:t>学术顶会客观实测击碎既有假定</w:t>
      </w:r>
      <w:r>
        <w:rPr>
          <w:rFonts w:ascii="Arial" w:hAnsi="Arial"/>
          <w:rFonts w:ascii="Arial" w:hAnsi="Arial" w:eastAsia="Microsoft YaHei"/>
          <w:b w:val="0"/>
          <w:i w:val="0"/>
          <w:color w:val="17365D"/>
          <w:sz w:val="19"/>
        </w:rPr>
        <w:t>：FAST '26 论文量化证明，在真实百万轮会话轨迹下，受人类交互“思考停顿”物理特性的影响，传统 LRU、LFU、FIFO 在性能层容量为 40% 时，</w:t>
      </w:r>
      <w:r>
        <w:rPr>
          <w:rFonts w:ascii="Arial" w:hAnsi="Arial"/>
          <w:rFonts w:ascii="Arial" w:hAnsi="Arial" w:eastAsia="Microsoft YaHei"/>
          <w:b/>
          <w:i w:val="0"/>
          <w:color w:val="17365D"/>
          <w:sz w:val="19"/>
        </w:rPr>
        <w:t>缓存 Miss Rate 均高达 80% 左右</w:t>
      </w:r>
      <w:r>
        <w:rPr>
          <w:rFonts w:ascii="Arial" w:hAnsi="Arial"/>
          <w:rFonts w:ascii="Arial" w:hAnsi="Arial" w:eastAsia="Microsoft YaHei"/>
          <w:b w:val="0"/>
          <w:i w:val="0"/>
          <w:color w:val="17365D"/>
          <w:sz w:val="19"/>
        </w:rPr>
        <w:t>，几乎彻底瘫痪失效；</w:t>
      </w:r>
    </w:p>
    <w:p>
      <w:pPr>
        <w:spacing w:before="80" w:after="100" w:line="312" w:lineRule="auto"/>
        <w:pBdr>
          <w:left w:val="single" w:sz="24" w:space="12" w:color="17365D"/>
        </w:pBdr>
        <w:shd w:fill="EEF4F9"/>
      </w:pPr>
      <w:r>
        <w:rPr>
          <w:rFonts w:ascii="Arial" w:hAnsi="Arial"/>
          <w:rFonts w:ascii="Arial" w:hAnsi="Arial" w:eastAsia="Microsoft YaHei"/>
          <w:b w:val="0"/>
          <w:i w:val="0"/>
          <w:color w:val="17365D"/>
          <w:sz w:val="19"/>
        </w:rPr>
        <w:t xml:space="preserve">2. </w:t>
      </w:r>
      <w:r>
        <w:rPr>
          <w:rFonts w:ascii="Arial" w:hAnsi="Arial"/>
          <w:rFonts w:ascii="Arial" w:hAnsi="Arial" w:eastAsia="Microsoft YaHei"/>
          <w:b/>
          <w:i w:val="0"/>
          <w:color w:val="17365D"/>
          <w:sz w:val="19"/>
        </w:rPr>
        <w:t>立项架构的先见性佐证</w:t>
      </w:r>
      <w:r>
        <w:rPr>
          <w:rFonts w:ascii="Arial" w:hAnsi="Arial"/>
          <w:rFonts w:ascii="Arial" w:hAnsi="Arial" w:eastAsia="Microsoft YaHei"/>
          <w:b w:val="0"/>
          <w:i w:val="0"/>
          <w:color w:val="17365D"/>
          <w:sz w:val="19"/>
        </w:rPr>
        <w:t xml:space="preserve">：通过引入加权重用距离与后台幽灵缓存校准，Miss Rate 能够实测降低 </w:t>
      </w:r>
      <w:r>
        <w:rPr>
          <w:rFonts w:ascii="Arial" w:hAnsi="Arial"/>
          <w:rFonts w:ascii="Arial" w:hAnsi="Arial" w:eastAsia="Microsoft YaHei"/>
          <w:b/>
          <w:i w:val="0"/>
          <w:color w:val="17365D"/>
          <w:sz w:val="19"/>
        </w:rPr>
        <w:t>57.6% ~ 69.9%</w:t>
      </w:r>
      <w:r>
        <w:rPr>
          <w:rFonts w:ascii="Arial" w:hAnsi="Arial"/>
          <w:rFonts w:ascii="Arial" w:hAnsi="Arial" w:eastAsia="Microsoft YaHei"/>
          <w:b w:val="0"/>
          <w:i w:val="0"/>
          <w:color w:val="17365D"/>
          <w:sz w:val="19"/>
        </w:rPr>
        <w:t>。这直接支撑了本项目在立项设计中将“存储分层感知与精细化租约管理”列为核心模块的正确性，为系统跨介质调度提供了扎实的学术支撑。</w:t>
      </w:r>
    </w:p>
    <w:p>
      <w:pPr>
        <w:spacing w:before="200" w:after="80" w:line="276" w:lineRule="auto"/>
      </w:pPr>
      <w:r>
        <w:rPr>
          <w:rFonts w:ascii="Arial" w:hAnsi="Arial"/>
          <w:rFonts w:ascii="Arial" w:hAnsi="Arial" w:eastAsia="Microsoft YaHei"/>
          <w:b/>
          <w:i w:val="0"/>
          <w:color w:val="2F5597"/>
          <w:sz w:val="23"/>
        </w:rPr>
        <w:t>5.3 质询三：“如果调度器感知存储 I/O 状态并动态插队，会不会导致大请求或长会话陷入无限饥饿，破坏服务公平性与尾部时延？”</w:t>
      </w:r>
    </w:p>
    <w:p>
      <w:pPr>
        <w:spacing w:before="80" w:after="100" w:line="312" w:lineRule="auto"/>
        <w:pBdr>
          <w:left w:val="single" w:sz="24" w:space="12" w:color="17365D"/>
        </w:pBdr>
        <w:shd w:fill="EEF4F9"/>
      </w:pPr>
      <w:r>
        <w:rPr>
          <w:rFonts w:ascii="Arial" w:hAnsi="Arial"/>
          <w:rFonts w:ascii="Arial" w:hAnsi="Arial" w:eastAsia="Microsoft YaHei"/>
          <w:b/>
          <w:i w:val="0"/>
          <w:color w:val="17365D"/>
          <w:sz w:val="19"/>
        </w:rPr>
        <w:t>硬核反驳背书</w:t>
      </w:r>
      <w:r>
        <w:rPr>
          <w:rFonts w:ascii="Arial" w:hAnsi="Arial"/>
          <w:rFonts w:ascii="Arial" w:hAnsi="Arial" w:eastAsia="Microsoft YaHei"/>
          <w:b w:val="0"/>
          <w:i w:val="0"/>
          <w:color w:val="17365D"/>
          <w:sz w:val="19"/>
        </w:rPr>
        <w:t>：</w:t>
      </w:r>
    </w:p>
    <w:p>
      <w:pPr>
        <w:spacing w:before="80" w:after="100" w:line="312" w:lineRule="auto"/>
        <w:pBdr>
          <w:left w:val="single" w:sz="24" w:space="12" w:color="17365D"/>
        </w:pBdr>
        <w:shd w:fill="EEF4F9"/>
      </w:pPr>
      <w:r>
        <w:rPr>
          <w:rFonts w:ascii="Arial" w:hAnsi="Arial"/>
          <w:rFonts w:ascii="Arial" w:hAnsi="Arial" w:eastAsia="Microsoft YaHei"/>
          <w:b w:val="0"/>
          <w:i w:val="0"/>
          <w:color w:val="17365D"/>
          <w:sz w:val="19"/>
        </w:rPr>
        <w:t xml:space="preserve">1. </w:t>
      </w:r>
      <w:r>
        <w:rPr>
          <w:rFonts w:ascii="Arial" w:hAnsi="Arial"/>
          <w:rFonts w:ascii="Arial" w:hAnsi="Arial" w:eastAsia="Microsoft YaHei"/>
          <w:b/>
          <w:i w:val="0"/>
          <w:color w:val="17365D"/>
          <w:sz w:val="19"/>
        </w:rPr>
        <w:t>disk-HRRN 与原始时间戳提供了严格的防饥饿数学证明</w:t>
      </w:r>
      <w:r>
        <w:rPr>
          <w:rFonts w:ascii="Arial" w:hAnsi="Arial"/>
          <w:rFonts w:ascii="Arial" w:hAnsi="Arial" w:eastAsia="Microsoft YaHei"/>
          <w:b w:val="0"/>
          <w:i w:val="0"/>
          <w:color w:val="17365D"/>
          <w:sz w:val="19"/>
        </w:rPr>
        <w:t>：Bidaw 采用的高响应比优先公式（$1 + \frac{\text{Waiting Time}}{\text{KV Size}}$）天然具备动态老化（Aging）机制，大请求随着等待时间增长优先级呈线性提升，必然能获得 I/O 服务；</w:t>
      </w:r>
    </w:p>
    <w:p>
      <w:pPr>
        <w:spacing w:before="80" w:after="100" w:line="312" w:lineRule="auto"/>
        <w:pBdr>
          <w:left w:val="single" w:sz="24" w:space="12" w:color="17365D"/>
        </w:pBdr>
        <w:shd w:fill="EEF4F9"/>
      </w:pPr>
      <w:r>
        <w:rPr>
          <w:rFonts w:ascii="Arial" w:hAnsi="Arial"/>
          <w:rFonts w:ascii="Arial" w:hAnsi="Arial" w:eastAsia="Microsoft YaHei"/>
          <w:b w:val="0"/>
          <w:i w:val="0"/>
          <w:color w:val="17365D"/>
          <w:sz w:val="19"/>
        </w:rPr>
        <w:t xml:space="preserve">2. </w:t>
      </w:r>
      <w:r>
        <w:rPr>
          <w:rFonts w:ascii="Arial" w:hAnsi="Arial"/>
          <w:rFonts w:ascii="Arial" w:hAnsi="Arial" w:eastAsia="Microsoft YaHei"/>
          <w:b/>
          <w:i w:val="0"/>
          <w:color w:val="17365D"/>
          <w:sz w:val="19"/>
        </w:rPr>
        <w:t>尾部时延实测不仅没有恶化，反而显著改善</w:t>
      </w:r>
      <w:r>
        <w:rPr>
          <w:rFonts w:ascii="Arial" w:hAnsi="Arial"/>
          <w:rFonts w:ascii="Arial" w:hAnsi="Arial" w:eastAsia="Microsoft YaHei"/>
          <w:b w:val="0"/>
          <w:i w:val="0"/>
          <w:color w:val="17365D"/>
          <w:sz w:val="19"/>
        </w:rPr>
        <w:t xml:space="preserve">：实测显示，在 OPT-30B 模型下，Bidaw 相比 FlashGen 将 </w:t>
      </w:r>
      <w:r>
        <w:rPr>
          <w:rFonts w:ascii="Arial" w:hAnsi="Arial"/>
          <w:rFonts w:ascii="Arial" w:hAnsi="Arial" w:eastAsia="Microsoft YaHei"/>
          <w:b/>
          <w:i w:val="0"/>
          <w:color w:val="17365D"/>
          <w:sz w:val="19"/>
        </w:rPr>
        <w:t>P99 尾部响应时延降低了 56.81%</w:t>
      </w:r>
      <w:r>
        <w:rPr>
          <w:rFonts w:ascii="Arial" w:hAnsi="Arial"/>
          <w:rFonts w:ascii="Arial" w:hAnsi="Arial" w:eastAsia="Microsoft YaHei"/>
          <w:b w:val="0"/>
          <w:i w:val="0"/>
          <w:color w:val="17365D"/>
          <w:sz w:val="19"/>
        </w:rPr>
        <w:t>。这强有力地证明了：只要机制设计完备，基于 I/O 状态的请求分流不会饿死大请求，反而能全面消除队头阻塞，实现系统均值与长尾时延的双重收敛。</w:t>
      </w:r>
    </w:p>
    <w:p>
      <w:pPr>
        <w:spacing w:before="80" w:after="120"/>
        <w:pBdr>
          <w:bottom w:val="single" w:sz="4" w:space="3" w:color="D9E2F3"/>
        </w:pBdr>
      </w:pPr>
    </w:p>
    <w:p>
      <w:pPr>
        <w:spacing w:before="280" w:after="120" w:line="276" w:lineRule="auto"/>
      </w:pPr>
      <w:r>
        <w:rPr>
          <w:rFonts w:ascii="Arial" w:hAnsi="Arial"/>
          <w:rFonts w:ascii="Arial" w:hAnsi="Arial" w:eastAsia="Microsoft YaHei"/>
          <w:b/>
          <w:i w:val="0"/>
          <w:color w:val="17365D"/>
          <w:sz w:val="27"/>
        </w:rPr>
        <w:t>六、 边界条件与不可直接迁移点</w:t>
      </w:r>
    </w:p>
    <w:p>
      <w:pPr>
        <w:spacing w:before="30" w:after="60"/>
        <w:ind w:left="340"/>
      </w:pPr>
      <w:r>
        <w:rPr>
          <w:rFonts w:ascii="Arial" w:hAnsi="Arial"/>
          <w:rFonts w:ascii="Arial" w:hAnsi="Arial" w:eastAsia="Arial"/>
          <w:b/>
          <w:i w:val="0"/>
          <w:color w:val="17365D"/>
          <w:sz w:val="20"/>
        </w:rPr>
        <w:t xml:space="preserve">1. </w:t>
      </w:r>
      <w:r>
        <w:rPr>
          <w:rFonts w:ascii="Arial" w:hAnsi="Arial"/>
          <w:rFonts w:ascii="Arial" w:hAnsi="Arial" w:eastAsia="SimSun"/>
          <w:b/>
          <w:i w:val="0"/>
          <w:color w:val="1F1F1F"/>
          <w:sz w:val="20"/>
        </w:rPr>
        <w:t>单机 SATA SSD 平台与分布式网络拓扑的鸿沟</w:t>
      </w:r>
      <w:r>
        <w:rPr>
          <w:rFonts w:ascii="Arial" w:hAnsi="Arial"/>
          <w:rFonts w:ascii="Arial" w:hAnsi="Arial" w:eastAsia="SimSun"/>
          <w:b w:val="0"/>
          <w:i w:val="0"/>
          <w:color w:val="1F1F1F"/>
          <w:sz w:val="20"/>
        </w:rPr>
        <w:t>：Bidaw 的所有核心收益均建立在单台服务器、单张 A800 与本地 1.5 GB/s SATA RAID-5 的极端低速存储假设之上，其对 5 GB/s 带宽的测试也是通过软内存复制与延时注入模拟的。本项目面向的是国产 AI 芯片与通用服务器集群，跨机互连走的是 UBMEM/URMA 高速网络（100~200 Gbps），本地扩展走的是 NVMe SSD 直达（PCIe 4.0/5.0 数 GB/s 到数十 GB/s）。物理链路带宽的巨大差异意味着不能直接照搬其绝对延迟数值；</w:t>
      </w:r>
    </w:p>
    <w:p>
      <w:pPr>
        <w:spacing w:before="30" w:after="60"/>
        <w:ind w:left="340"/>
      </w:pPr>
      <w:r>
        <w:rPr>
          <w:rFonts w:ascii="Arial" w:hAnsi="Arial"/>
          <w:rFonts w:ascii="Arial" w:hAnsi="Arial" w:eastAsia="Arial"/>
          <w:b/>
          <w:i w:val="0"/>
          <w:color w:val="17365D"/>
          <w:sz w:val="20"/>
        </w:rPr>
        <w:t xml:space="preserve">2. </w:t>
      </w:r>
      <w:r>
        <w:rPr>
          <w:rFonts w:ascii="Arial" w:hAnsi="Arial"/>
          <w:rFonts w:ascii="Arial" w:hAnsi="Arial" w:eastAsia="SimSun"/>
          <w:b/>
          <w:i w:val="0"/>
          <w:color w:val="1F1F1F"/>
          <w:sz w:val="20"/>
        </w:rPr>
        <w:t>人类对话特征不可盲目外推至全自动业务</w:t>
      </w:r>
      <w:r>
        <w:rPr>
          <w:rFonts w:ascii="Arial" w:hAnsi="Arial"/>
          <w:rFonts w:ascii="Arial" w:hAnsi="Arial" w:eastAsia="SimSun"/>
          <w:b w:val="0"/>
          <w:i w:val="0"/>
          <w:color w:val="1F1F1F"/>
          <w:sz w:val="20"/>
        </w:rPr>
        <w:t>：回答长度与思考时间的强相关性仅在“人类在环”的多轮交互对话中成立。在自动化 Agent 批量调度、固定节拍的后台批处理、代码自动化生成等业务流中，该相关性可能完全消失甚至呈现反向趋势。因此该机制在底座中必须作为受控插件，支持按业务类型配置与一键切除；</w:t>
      </w:r>
    </w:p>
    <w:p>
      <w:pPr>
        <w:spacing w:before="30" w:after="60"/>
        <w:ind w:left="340"/>
      </w:pPr>
      <w:r>
        <w:rPr>
          <w:rFonts w:ascii="Arial" w:hAnsi="Arial"/>
          <w:rFonts w:ascii="Arial" w:hAnsi="Arial" w:eastAsia="Arial"/>
          <w:b/>
          <w:i w:val="0"/>
          <w:color w:val="17365D"/>
          <w:sz w:val="20"/>
        </w:rPr>
        <w:t xml:space="preserve">3. </w:t>
      </w:r>
      <w:r>
        <w:rPr>
          <w:rFonts w:ascii="Arial" w:hAnsi="Arial"/>
          <w:rFonts w:ascii="Arial" w:hAnsi="Arial" w:eastAsia="SimSun"/>
          <w:b/>
          <w:i w:val="0"/>
          <w:color w:val="1F1F1F"/>
          <w:sz w:val="20"/>
        </w:rPr>
        <w:t>中间张量缓存（Tensor 6）的模型局限性</w:t>
      </w:r>
      <w:r>
        <w:rPr>
          <w:rFonts w:ascii="Arial" w:hAnsi="Arial"/>
          <w:rFonts w:ascii="Arial" w:hAnsi="Arial" w:eastAsia="SimSun"/>
          <w:b w:val="0"/>
          <w:i w:val="0"/>
          <w:color w:val="1F1F1F"/>
          <w:sz w:val="20"/>
        </w:rPr>
        <w:t>：Bidaw 的张量转换主要适用于原始 MHA 模型（如 OPT 系列）。针对广泛采用 GQA（如 Llama-3）与 MLA（如 DeepSeek）的现代模型架构，KV 缓存原本占用已大幅下降，中间激活张量反而可能带来额外的显存与重构算力开销，不可盲目迁移；</w:t>
      </w:r>
    </w:p>
    <w:p>
      <w:pPr>
        <w:spacing w:before="30" w:after="60"/>
        <w:ind w:left="340"/>
      </w:pPr>
      <w:r>
        <w:rPr>
          <w:rFonts w:ascii="Arial" w:hAnsi="Arial"/>
          <w:rFonts w:ascii="Arial" w:hAnsi="Arial" w:eastAsia="Arial"/>
          <w:b/>
          <w:i w:val="0"/>
          <w:color w:val="17365D"/>
          <w:sz w:val="20"/>
        </w:rPr>
        <w:t xml:space="preserve">4. </w:t>
      </w:r>
      <w:r>
        <w:rPr>
          <w:rFonts w:ascii="Arial" w:hAnsi="Arial"/>
          <w:rFonts w:ascii="Arial" w:hAnsi="Arial" w:eastAsia="SimSun"/>
          <w:b/>
          <w:i w:val="0"/>
          <w:color w:val="1F1F1F"/>
          <w:sz w:val="20"/>
        </w:rPr>
        <w:t>控制职责边界铁律</w:t>
      </w:r>
      <w:r>
        <w:rPr>
          <w:rFonts w:ascii="Arial" w:hAnsi="Arial"/>
          <w:rFonts w:ascii="Arial" w:hAnsi="Arial" w:eastAsia="SimSun"/>
          <w:b w:val="0"/>
          <w:i w:val="0"/>
          <w:color w:val="1F1F1F"/>
          <w:sz w:val="20"/>
        </w:rPr>
        <w:t>：Bidaw 的调度器由存储模块侵入了计算框架的请求派发。在工业化落地中，统一异构 KVCache 存储底座必须保持清晰的系统职责边界——存储底座负责提供版本化的预计就绪时延（</w:t>
      </w:r>
      <w:r>
        <w:rPr>
          <w:rFonts w:ascii="Consolas" w:hAnsi="Consolas"/>
          <w:rFonts w:ascii="Consolas" w:hAnsi="Consolas" w:eastAsia="Microsoft YaHei"/>
          <w:b w:val="0"/>
          <w:i w:val="0"/>
          <w:color w:val="1F1F1F"/>
          <w:sz w:val="19"/>
        </w:rPr>
        <w:t>predicted_ready_time_us</w:t>
      </w:r>
      <w:r>
        <w:rPr>
          <w:rFonts w:ascii="Arial" w:hAnsi="Arial"/>
          <w:rFonts w:ascii="Arial" w:hAnsi="Arial" w:eastAsia="SimSun"/>
          <w:b w:val="0"/>
          <w:i w:val="0"/>
          <w:color w:val="1F1F1F"/>
          <w:sz w:val="20"/>
        </w:rPr>
        <w:t>）与硬件 I/O 流水编排，</w:t>
      </w:r>
      <w:r>
        <w:rPr>
          <w:rFonts w:ascii="Arial" w:hAnsi="Arial"/>
          <w:rFonts w:ascii="Arial" w:hAnsi="Arial" w:eastAsia="SimSun"/>
          <w:b/>
          <w:i w:val="0"/>
          <w:color w:val="1F1F1F"/>
          <w:sz w:val="20"/>
        </w:rPr>
        <w:t>严禁越权劫持或改写上层推理框架（如 vLLM、MindIE）全局批处理的最终执行控制权</w:t>
      </w:r>
      <w:r>
        <w:rPr>
          <w:rFonts w:ascii="Arial" w:hAnsi="Arial"/>
          <w:rFonts w:ascii="Arial" w:hAnsi="Arial" w:eastAsia="SimSun"/>
          <w:b w:val="0"/>
          <w:i w:val="0"/>
          <w:color w:val="1F1F1F"/>
          <w:sz w:val="20"/>
        </w:rPr>
        <w:t>。</w:t>
      </w:r>
    </w:p>
    <w:sectPr w:rsidR="00FC693F" w:rsidRPr="0006063C" w:rsidSect="00034616">
      <w:headerReference w:type="default" r:id="rId9"/>
      <w:footerReference w:type="default" r:id="rId10"/>
      <w:pgSz w:w="11906" w:h="16838"/>
      <w:pgMar w:top="1417" w:right="1440" w:bottom="1304"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rFonts w:ascii="Arial" w:hAnsi="Arial" w:eastAsia="SimSun"/>
        <w:b w:val="0"/>
        <w:i w:val="0"/>
        <w:color w:val="666666"/>
        <w:sz w:val="18"/>
      </w:rPr>
      <w:t xml:space="preserve">— </w:t>
    </w:r>
    <w:r>
      <w:rPr>
        <w:rFonts w:ascii="Arial" w:hAnsi="Arial"/>
        <w:rFonts w:ascii="Arial" w:hAnsi="Arial" w:eastAsia="SimSun"/>
        <w:b w:val="0"/>
        <w:i w:val="0"/>
        <w:color w:val="666666"/>
        <w:sz w:val="18"/>
      </w:rPr>
      <w:fldChar w:fldCharType="begin"/>
    </w:r>
    <w:r>
      <w:rPr>
        <w:rFonts w:ascii="Arial" w:hAnsi="Arial"/>
        <w:rFonts w:ascii="Arial" w:hAnsi="Arial" w:eastAsia="SimSun"/>
        <w:b w:val="0"/>
        <w:i w:val="0"/>
        <w:color w:val="666666"/>
        <w:sz w:val="18"/>
      </w:rPr>
      <w:instrText xml:space="preserve"> PAGE </w:instrText>
    </w:r>
    <w:r>
      <w:rPr>
        <w:rFonts w:ascii="Arial" w:hAnsi="Arial"/>
        <w:rFonts w:ascii="Arial" w:hAnsi="Arial" w:eastAsia="SimSun"/>
        <w:b w:val="0"/>
        <w:i w:val="0"/>
        <w:color w:val="666666"/>
        <w:sz w:val="18"/>
      </w:rPr>
      <w:fldChar w:fldCharType="separate"/>
    </w:r>
    <w:r>
      <w:rPr>
        <w:rFonts w:ascii="Arial" w:hAnsi="Arial"/>
        <w:rFonts w:ascii="Arial" w:hAnsi="Arial" w:eastAsia="SimSun"/>
        <w:b w:val="0"/>
        <w:i w:val="0"/>
        <w:color w:val="666666"/>
        <w:sz w:val="18"/>
      </w:rPr>
      <w:t>1</w:t>
    </w:r>
    <w:r>
      <w:rPr>
        <w:rFonts w:ascii="Arial" w:hAnsi="Arial"/>
        <w:rFonts w:ascii="Arial" w:hAnsi="Arial" w:eastAsia="SimSun"/>
        <w:b w:val="0"/>
        <w:i w:val="0"/>
        <w:color w:val="666666"/>
        <w:sz w:val="18"/>
      </w:rPr>
      <w:fldChar w:fldCharType="end"/>
    </w:r>
    <w:r>
      <w:rPr>
        <w:rFonts w:ascii="Arial" w:hAnsi="Arial"/>
        <w:rFonts w:ascii="Arial" w:hAnsi="Arial" w:eastAsia="SimSun"/>
        <w:b w:val="0"/>
        <w:i w:val="0"/>
        <w:color w:val="666666"/>
        <w:sz w:val="18"/>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rFonts w:ascii="Arial" w:hAnsi="Arial" w:eastAsia="Microsoft YaHei"/>
        <w:b w:val="0"/>
        <w:i w:val="0"/>
        <w:color w:val="666666"/>
        <w:sz w:val="18"/>
      </w:rPr>
      <w:t>FAST 2026 技术解构：Bidaw (FAST '26)：计算-存储双向感知的高效交互式...</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Bidaw (FAST '26)：计算-存储双向感知的高效交互式大模型 KVCache 分层管理深度解读、技术启发与立项背书</dc:title>
  <dc:subject>FAST 2026 论文技术解构与统一异构 KVCache 项目启示</dc:subject>
  <dc:creator>统一异构 KVCache 存储池项目组</dc:creator>
  <cp:keywords/>
  <dc:description>generated by python-docx</dc:description>
  <cp:lastModifiedBy/>
  <cp:revision>1</cp:revision>
  <dcterms:created xsi:type="dcterms:W3CDTF">2013-12-23T23:15:00Z</dcterms:created>
  <dcterms:modified xsi:type="dcterms:W3CDTF">2013-12-23T23:15:00Z</dcterms:modified>
  <cp:category/>
</cp:coreProperties>
</file>