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2"/>
        </w:rPr>
        <w:t>OSDI 2026 顶会论文深度解构与技术背书</w:t>
      </w:r>
    </w:p>
    <w:p>
      <w:pPr>
        <w:spacing w:before="800" w:after="280"/>
      </w:pPr>
      <w:r>
        <w:rPr>
          <w:rFonts w:ascii="Arial" w:hAnsi="Arial"/>
          <w:rFonts w:ascii="Arial" w:hAnsi="Arial" w:eastAsia="Microsoft YaHei"/>
          <w:b/>
          <w:i w:val="0"/>
          <w:color w:val="17365D"/>
          <w:sz w:val="44"/>
        </w:rPr>
        <w:t>DirectKV (OSDI '26)：长上下文大模型零拷贝 KVCache 卸载深度解读、技术启发与立项背书</w:t>
      </w:r>
    </w:p>
    <w:p>
      <w:pPr>
        <w:sectPr>
          <w:headerReference w:type="default" r:id="rId9"/>
          <w:footerReference w:type="default" r:id="rId10"/>
          <w:pgSz w:w="11906" w:h="16838"/>
          <w:pgMar w:top="1417" w:right="1440" w:bottom="1304" w:left="1440" w:header="720" w:footer="720" w:gutter="0"/>
          <w:cols w:space="720"/>
          <w:titlePg/>
          <w:docGrid w:linePitch="360"/>
        </w:sectPr>
      </w:pPr>
    </w:p>
    <w:p>
      <w:pPr>
        <w:spacing w:before="280" w:after="12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17365D"/>
          <w:sz w:val="27"/>
        </w:rPr>
        <w:t>一、 论文基本信息与研究背景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论文题目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：*No Buffer, No Bottleneck: Efficient Zero-Copy KV Cache Offloading for Long-Context LLMs*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作者与机构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：Shutian Luo, Haiying Shen（University of Virginia，弗吉尼亚大学）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发表会议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：USENIX OSDI 2026（第 20 届操作系统设计与实现顶会，Seattle, WA, USA）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原文链接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：[同目录 PDF](&lt;[OSDI 2026] No Buffer No Bottleneck Efficient Zero-Copy KV Cache Offloading for Long-Context LLMs.pdf&gt;)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核心专有名词界定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KVCache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（大模型注意力键值缓存）：自回归生成过程中缓存的历史 Key 与 Value 激活状态张量，用于避免后续 Token 生成时重复计算注意力；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TTFT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（Time To First Token，首字生成延迟 / 首 Token 响应时间）：从用户发起请求到生成第一个 Token 的耗时；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TPOT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（Time Per Output Token，每个输出 Token 的生成耗时 / 单字生成延迟）：解码阶段逐字生成的平均时间；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Direct-View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（远端直读）：直接通过高速互连总线跨节点读取远端内存/显存中的 KV 数据，不产生本地显存全量拷贝；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Host CPU 零数据拷贝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（Payload Bypass DDR）：CPU 仅负责下发控制指令，不参与正文数据搬运，数据直接在设备与远端介质间流转。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1.1 面临的体系结构物理矛盾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随着大语言模型（LLM）上下文窗口扩展至 128K 乃至 1M，KVCache 的显存占用随序列长度和模型尺寸呈线性爆炸式增长。以 128K 上下文为例，单请求仅 KV 缓存即可达到数百 GB，远超单个计算加速卡的高带宽显存（HBM）物理容量上限。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业界现有的基于换入换出模式的卸载方案（Swap-based Offloading，如 FlexGen、Pie、SGLang CPU Offload 及开源 Mooncake 的阶段性换出）将冷 KV 卸载到 Host CPU 内存中。然而，这种经典机制在底层硬件层面存在两大顽疾：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17365D"/>
          <w:sz w:val="20"/>
        </w:rPr>
        <w:t xml:space="preserve">1.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GPU 暂存缓冲区（Staging Buffer）浪费巨量显存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：GPU 端必须为正在读取的 KV 块分配专门的临时缓冲区（典型为数百 MB 至数 GB），导致宝贵的 HBM 无法被模型前向计算完全利用；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17365D"/>
          <w:sz w:val="20"/>
        </w:rPr>
        <w:t xml:space="preserve">2.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二次数据搬运与双向总线争用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：数据必须经过 Host DDR $\leftrightarrow$ PCIe/C2C $\leftrightarrow$ GPU HBM 的往返中转，按层（Per-layer）或按块频繁执行 swap-in/swap-out，CPU 深度卷入数据搬运，引发严重的总线争用与计算停顿。</w:t>
      </w:r>
    </w:p>
    <w:p>
      <w:pPr>
        <w:spacing w:before="80" w:after="120"/>
        <w:pBdr>
          <w:bottom w:val="single" w:sz="4" w:space="3" w:color="D9E2F3"/>
        </w:pBdr>
      </w:pPr>
    </w:p>
    <w:p>
      <w:pPr>
        <w:spacing w:before="280" w:after="12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17365D"/>
          <w:sz w:val="27"/>
        </w:rPr>
        <w:t>二、 核心技术细节与架构机理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DirectKV 的核心设计是彻底取消 GPU 侧的暂存缓冲区，让 GPU 计算核心（SM）直接访问页锁定（Pinned）的主机内存中的 KVCache。然而，论文通过详实的微基准测量指出：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纯粹在软件 API 层取消拷贝的“朴素零拷贝（Naïve Zero-Copy）”不仅不能提速，反而会导致性能发生灾难性暴跌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。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2.1 朴素零拷贝的性能陷阱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900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kv_fig1_swap_vs_zerocop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0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rFonts w:ascii="Arial" w:hAnsi="Arial" w:eastAsia="SimSun"/>
          <w:b w:val="0"/>
          <w:i/>
          <w:color w:val="666666"/>
          <w:sz w:val="18"/>
        </w:rPr>
        <w:t>图：Figure 1: 传统换入换出卸载与零拷贝架构对比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*图 1：传统换入换出卸载与零拷贝数据流对比（摘自 DirectKV 原文 Fig. 1）*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967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kv_fig2_naive_zerocopy_slowdow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rFonts w:ascii="Arial" w:hAnsi="Arial" w:eastAsia="SimSun"/>
          <w:b w:val="0"/>
          <w:i/>
          <w:color w:val="666666"/>
          <w:sz w:val="18"/>
        </w:rPr>
        <w:t>图：Figure 2: 朴素零拷贝在 PCIe 下性能暴跌 20 倍实测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*图 2：三种机制在 PCIe 与 NVLink 互连下的注意力计算延迟对比（摘自 DirectKV 原文 Fig. 2）*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（Pitfalls of Naïve Zero-Copy）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在现代 GPU 体系结构中，SM 计算单元的高度并行计算吞吐（如 Hopper HBM3 带宽达 3.35 TB/s）严重依赖片上高速缓存（L1/L2 Cache）与连续访存合并。当 GPU 核函数直接解引用页锁定的 Host DDR 地址时：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互连带宽不对称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：即使在 NVIDIA GH200 上，CPU-GPU 双向 NVLink-C2C 带宽为 900 GB/s，依然显著低于 HBM3 的 3.35 TB/s；而在标准 PCIe 5.0 x16 环境下，单向带宽仅 64 GB/s，带宽差距高达数十倍；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访存局部性破坏与总线流量剧烈放大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：在多头注意力（Multi-Head Attention）与矩阵乘计算中，外层循环会导致同一批 CPU 侧数据被反复拉取。在 PCIe 环境下，朴素零拷贝注意力计算耗时高达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1122 ms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，而换入换出基线仅需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56 ms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，性能暴跌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20 倍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；在 GH200 NVLink-C2C 下，朴素零拷贝耗时为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106 ms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，基线为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52 ms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，同样慢了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1 倍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L2 Cache 击穿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：实测显示，朴素零拷贝使 GPU L2 Cache 命中率由基线的 77% 断崖式跌至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32.3%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，CPU-GPU 互连总线上充斥着重复读取的冗余流量（高达 22.7 GB）。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2.2 DirectKV 的三大软硬件协同优化机理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86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kv_fig8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8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rFonts w:ascii="Arial" w:hAnsi="Arial" w:eastAsia="SimSun"/>
          <w:b w:val="0"/>
          <w:i/>
          <w:color w:val="666666"/>
          <w:sz w:val="18"/>
        </w:rPr>
        <w:t>图：Figure 8: DirectKV 软硬件协同整体系统架构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*图 3：DirectKV 软硬件协同整体系统架构与数据流向（摘自 DirectKV 原文 Fig. 8）*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9985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kv_fig9_kernel_fu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98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rFonts w:ascii="Arial" w:hAnsi="Arial" w:eastAsia="SimSun"/>
          <w:b w:val="0"/>
          <w:i/>
          <w:color w:val="666666"/>
          <w:sz w:val="18"/>
        </w:rPr>
        <w:t>图：Figure 9: QKV 投影与注意力核函数融合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*图 4：QKV 投影与注意力算子融合消除 HBM 往返访存（摘自 DirectKV 原文 Fig. 9）*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DirectKV 证明了“消除拷贝”不等于“消除数据移动”，必须通过体系结构维度的软硬协同对数据流进行重构：</w:t>
      </w:r>
    </w:p>
    <w:p>
      <w:pPr>
        <w:spacing w:before="80" w:after="120" w:line="276" w:lineRule="auto"/>
        <w:pBdr>
          <w:left w:val="single" w:sz="24" w:space="12" w:color="B0C4DE"/>
        </w:pBdr>
        <w:shd w:fill="F2F4F7"/>
      </w:pPr>
      <w:r>
        <w:rPr>
          <w:rFonts w:ascii="Consolas" w:hAnsi="Consolas"/>
          <w:rFonts w:ascii="Consolas" w:hAnsi="Consolas" w:eastAsia="Microsoft YaHei"/>
          <w:b w:val="0"/>
          <w:i w:val="0"/>
          <w:color w:val="1F1F1F"/>
          <w:sz w:val="17"/>
        </w:rPr>
        <w:t>+-----------------------------------------------------------------------------------+</w:t>
        <w:br/>
        <w:t>| DirectKV Kernel-Memory 协同架构                                                   |</w:t>
        <w:br/>
        <w:t>|                                                                                   |</w:t>
        <w:br/>
        <w:t>|  [Host CPU Pinned Memory]                                                         |</w:t>
        <w:br/>
        <w:t>|         |                                                                         |</w:t>
        <w:br/>
        <w:t>|   (Tile 异步拉取) ----&gt; [SM 片上共享内存 (Shared Memory)] &lt;---- [GPU HBM (Q/Weights)]|</w:t>
        <w:br/>
        <w:t>|                                   |                                               |</w:t>
        <w:br/>
        <w:t>|                    [Warp-Level 双缓冲异步流水掩盖]                                |</w:t>
        <w:br/>
        <w:t>|                                   |                                               |</w:t>
        <w:br/>
        <w:t>|                      [Fused Projection &amp; Attention]                               |</w:t>
        <w:br/>
        <w:t>|                                   |                                               |</w:t>
        <w:br/>
        <w:t>|               新生成 Token 的 K/V 直接写回 Host Memory (无中转)                   |</w:t>
        <w:br/>
        <w:t>+-----------------------------------------------------------------------------------+</w:t>
      </w:r>
    </w:p>
    <w:p>
      <w:pPr>
        <w:spacing w:before="160" w:after="6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1"/>
        </w:rPr>
        <w:t>1. 面向慢速 CPU 内存的自适应分块（CPU-Memory-Aware Tiling）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DirectKV 颠倒了传统的循环嵌套顺序。传统 GEMM/Attention 循环中，矩阵数据以外部大块调度为主。DirectKV 明确将带宽受限的 CPU 侧 KV Tile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一次性拉入 SM 的片上高速共享内存（Shared Memory, SMEM）中常驻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，然后在片上遍历 GPU 本地的高速数据（如 Query 与模型权重）。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实测收益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：将 CPU-GPU 慢速链路上的重复数据搬运量由 33.5 GB 骤降至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0.4 GB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（减少 98.8%），Attention 计算延迟由 106 ms 缩短至 54 ms，L2 Cache 命中率从 32.3% 恢复至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75.1%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。</w:t>
      </w:r>
    </w:p>
    <w:p>
      <w:pPr>
        <w:spacing w:before="160" w:after="6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1"/>
        </w:rPr>
        <w:t>2. Warp 级双缓冲流水掩盖（Warp-Level Pipelining）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利用 NVIDIA Hopper 架构的异步传输指令（Asynchronous Transfer），DirectKV 在 SM 内部构建了细粒度双缓冲（Double Buffering）流水线：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一个 Warp 负责通过异步传输通道从页锁定 Host 内存拉取下一个 Tile 的 KV 数据；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其他 Tensor Core Warps 同步对当前 SMEM 中已就绪的 Tile 执行矩阵计算；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实测收益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：实现了通信与计算的完全交叠掩盖，HBM 实际有效利用吞吐从 0.3 TB/s 跃升至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1.3 TB/s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（提升 4.3 倍），端到端 Kernel 延迟进一步降低 11%（54 ms $\rightarrow$ 48 ms）。</w:t>
      </w:r>
    </w:p>
    <w:p>
      <w:pPr>
        <w:spacing w:before="160" w:after="6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1"/>
        </w:rPr>
        <w:t>3. Projection 与 Attention 核函数融合（Fused Kernel）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在自回归生成中，前一层输出需通过 QKV 线性投影产生当前 Token 的 K 和 V，再输入注意力层计算。传统实现将其拆分为两个独立 Kernel，投影生成的 K/V 必须先写回 HBM，再被 Attention Kernel 重新读出。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DirectKV 将 QKV 投影与 Attention Kernel 进行端到端算子融合，投影后的 K/V 直接保留在片上 SMEM 中供本层 Attention 即刻消费，消费完成后直接通过异步通道写回主机内存供后续解码复用；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实测收益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：完全消除了临时 K/V 张量在 HBM 的往返读写，Kernel 执行吞吐较分离实现最高提升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3.5 倍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，计算时延缩减为分离版本的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1/3 ~ 1/2.5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。</w:t>
      </w:r>
    </w:p>
    <w:p>
      <w:pPr>
        <w:spacing w:before="80" w:after="120"/>
        <w:pBdr>
          <w:bottom w:val="single" w:sz="4" w:space="3" w:color="D9E2F3"/>
        </w:pBdr>
      </w:pPr>
    </w:p>
    <w:p>
      <w:pPr>
        <w:spacing w:before="280" w:after="12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17365D"/>
          <w:sz w:val="27"/>
        </w:rPr>
        <w:t>三、 关键实验平台与量化测试结果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3.1 实验平台与基线配置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测试硬件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主力平台：NVIDIA GH200 Grace Hopper Superchip（Hopper GPU 96GB HBM3，480GB LPDDR5X CPU 内存，NVLink-C2C 双向带宽 900 GB/s）；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对照平台：NVIDIA H100 PCIe Gen5（单向理论带宽 64 GB/s）；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软件环境：CUDA 12.4，PyTorch 2.3，CUTLASS 3.0+ / CuTe。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评测模型与工作负载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模型：Llama-3.1-8B、OPT-13B、OPT-30B；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负载：ShareGPT、Alpaca、Poisson 分布到达流，并发请求率最高 30 req/s，上下文长度覆盖 1K ~ 32K Tokens；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对比基线系统：SGLang（显存常驻基准）、Pie（带 GPU 暂存缓冲区的卸载系统）、FlexGen（经典 CPU/GPU/Disk 三级卸载与成本模型系统）、Neo（CPU 执行 Attention 的卸载系统）。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3.2 核心量化实验数据对照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left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17365D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rFonts w:ascii="Arial" w:hAnsi="Arial" w:eastAsia="Microsoft YaHei"/>
                <w:b/>
                <w:i w:val="0"/>
                <w:color w:val="FFFFFF"/>
                <w:sz w:val="19"/>
              </w:rPr>
              <w:t>评估维度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17365D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rFonts w:ascii="Arial" w:hAnsi="Arial" w:eastAsia="Microsoft YaHei"/>
                <w:b/>
                <w:i w:val="0"/>
                <w:color w:val="FFFFFF"/>
                <w:sz w:val="19"/>
              </w:rPr>
              <w:t>DirectKV 表现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17365D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rFonts w:ascii="Arial" w:hAnsi="Arial" w:eastAsia="Microsoft YaHei"/>
                <w:b/>
                <w:i w:val="0"/>
                <w:color w:val="FFFFFF"/>
                <w:sz w:val="19"/>
              </w:rPr>
              <w:t>业界既有基线表现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17365D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rFonts w:ascii="Arial" w:hAnsi="Arial" w:eastAsia="Microsoft YaHei"/>
                <w:b/>
                <w:i w:val="0"/>
                <w:color w:val="FFFFFF"/>
                <w:sz w:val="19"/>
              </w:rPr>
              <w:t>体系结构归因与量化差距</w:t>
            </w:r>
          </w:p>
        </w:tc>
      </w:tr>
      <w:tr>
        <w:trPr>
          <w:cantSplit/>
        </w:trPr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/>
                <w:i w:val="0"/>
                <w:color w:val="1F1F1F"/>
                <w:sz w:val="18"/>
              </w:rPr>
              <w:t>GPU 显存占用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 xml:space="preserve">运行 Llama-3.1-8B 时平均仅占用 </w:t>
            </w:r>
            <w:r>
              <w:rPr>
                <w:rFonts w:ascii="Arial" w:hAnsi="Arial"/>
                <w:rFonts w:ascii="Arial" w:hAnsi="Arial" w:eastAsia="SimSun"/>
                <w:b/>
                <w:i w:val="0"/>
                <w:color w:val="1F1F1F"/>
                <w:sz w:val="18"/>
              </w:rPr>
              <w:t>47 GB</w:t>
            </w: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 xml:space="preserve"> 显存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 xml:space="preserve">换入换出类系统（Pie/Neo 等）平均占用 </w:t>
            </w:r>
            <w:r>
              <w:rPr>
                <w:rFonts w:ascii="Arial" w:hAnsi="Arial"/>
                <w:rFonts w:ascii="Arial" w:hAnsi="Arial" w:eastAsia="SimSun"/>
                <w:b/>
                <w:i w:val="0"/>
                <w:color w:val="1F1F1F"/>
                <w:sz w:val="18"/>
              </w:rPr>
              <w:t>82 GB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/>
                <w:i w:val="0"/>
                <w:color w:val="1F1F1F"/>
                <w:sz w:val="18"/>
              </w:rPr>
              <w:t>GPU 显存占用直接降低 43%（净省 35 GB）</w:t>
            </w: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；彻底省除 GPU Staging Buffer 与冗余中间张量。</w:t>
            </w:r>
          </w:p>
        </w:tc>
      </w:tr>
      <w:tr>
        <w:trPr>
          <w:cantSplit/>
        </w:trPr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/>
                <w:i w:val="0"/>
                <w:color w:val="1F1F1F"/>
                <w:sz w:val="18"/>
              </w:rPr>
              <w:t>CPU-GPU 互连流量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较基线方案数据传输总量</w:t>
            </w:r>
            <w:r>
              <w:rPr>
                <w:rFonts w:ascii="Arial" w:hAnsi="Arial"/>
                <w:rFonts w:ascii="Arial" w:hAnsi="Arial" w:eastAsia="SimSun"/>
                <w:b/>
                <w:i w:val="0"/>
                <w:color w:val="1F1F1F"/>
                <w:sz w:val="18"/>
              </w:rPr>
              <w:t>降低高达 50%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传统 Swap 方案存在大量层间换入换出冗余与重复读取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CPU-Memory-Aware Tiling 与算子融合消除了中间重复访存与 HBM 往返。</w:t>
            </w:r>
          </w:p>
        </w:tc>
      </w:tr>
      <w:tr>
        <w:trPr>
          <w:cantSplit/>
        </w:trPr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/>
                <w:i w:val="0"/>
                <w:color w:val="1F1F1F"/>
                <w:sz w:val="18"/>
              </w:rPr>
              <w:t>高并发服务时延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 xml:space="preserve">30 req/s 满载下，Llama-3.1-8B 端到端时延为 </w:t>
            </w:r>
            <w:r>
              <w:rPr>
                <w:rFonts w:ascii="Arial" w:hAnsi="Arial"/>
                <w:rFonts w:ascii="Arial" w:hAnsi="Arial" w:eastAsia="SimSun"/>
                <w:b/>
                <w:i w:val="0"/>
                <w:color w:val="1F1F1F"/>
                <w:sz w:val="18"/>
              </w:rPr>
              <w:t>0.75 s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 xml:space="preserve">对照系统时延处于 </w:t>
            </w:r>
            <w:r>
              <w:rPr>
                <w:rFonts w:ascii="Arial" w:hAnsi="Arial"/>
                <w:rFonts w:ascii="Arial" w:hAnsi="Arial" w:eastAsia="SimSun"/>
                <w:b/>
                <w:i w:val="0"/>
                <w:color w:val="1F1F1F"/>
                <w:sz w:val="18"/>
              </w:rPr>
              <w:t>1.55 s ~ 2.95 s</w:t>
            </w: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 xml:space="preserve"> 之间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/>
                <w:i w:val="0"/>
                <w:color w:val="1F1F1F"/>
                <w:sz w:val="18"/>
              </w:rPr>
              <w:t>端到端服务延迟降低 51.6% ~ 74.5%</w:t>
            </w: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；消除了 Staging Buffer 的内存拷贝排队阻塞。</w:t>
            </w:r>
          </w:p>
        </w:tc>
      </w:tr>
      <w:tr>
        <w:trPr>
          <w:cantSplit/>
        </w:trPr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/>
                <w:i w:val="0"/>
                <w:color w:val="1F1F1F"/>
                <w:sz w:val="18"/>
              </w:rPr>
              <w:t>超长上下文容量极限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 xml:space="preserve">在 </w:t>
            </w:r>
            <w:r>
              <w:rPr>
                <w:rFonts w:ascii="Arial" w:hAnsi="Arial"/>
                <w:rFonts w:ascii="Arial" w:hAnsi="Arial" w:eastAsia="SimSun"/>
                <w:b/>
                <w:i w:val="0"/>
                <w:color w:val="1F1F1F"/>
                <w:sz w:val="18"/>
              </w:rPr>
              <w:t>32K</w:t>
            </w: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 xml:space="preserve"> 上下文下稳定运行且吞吐保持平稳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Neo、SGLang、Pie 在 32K 时因显存耗尽</w:t>
            </w:r>
            <w:r>
              <w:rPr>
                <w:rFonts w:ascii="Arial" w:hAnsi="Arial"/>
                <w:rFonts w:ascii="Arial" w:hAnsi="Arial" w:eastAsia="SimSun"/>
                <w:b/>
                <w:i w:val="0"/>
                <w:color w:val="1F1F1F"/>
                <w:sz w:val="18"/>
              </w:rPr>
              <w:t>全量发生 OOM 崩溃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突破物理显存物理上限，在 16K 下比 FlexGen 快 1.7 倍、比 Pie 快 1.3 倍。</w:t>
            </w:r>
          </w:p>
        </w:tc>
      </w:tr>
      <w:tr>
        <w:trPr>
          <w:cantSplit/>
        </w:trPr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/>
                <w:i w:val="0"/>
                <w:color w:val="1F1F1F"/>
                <w:sz w:val="18"/>
              </w:rPr>
              <w:t>互连链路敏感性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NVLink-C2C 耗时 48 ms，PCIe Gen5 耗时 200 ms+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PCIe 朴素零拷贝耗时高达 1122 ms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互连物理带宽对直读至关重要，PCIe 适合容量扩容，高速总线才能达成低延迟。</w:t>
            </w:r>
          </w:p>
        </w:tc>
      </w:tr>
    </w:tbl>
    <w:p>
      <w:pPr>
        <w:spacing w:before="40" w:after="80"/>
      </w:pPr>
    </w:p>
    <w:p>
      <w:pPr>
        <w:spacing w:before="80" w:after="120"/>
        <w:pBdr>
          <w:bottom w:val="single" w:sz="4" w:space="3" w:color="D9E2F3"/>
        </w:pBdr>
      </w:pPr>
    </w:p>
    <w:p>
      <w:pPr>
        <w:spacing w:before="280" w:after="12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17365D"/>
          <w:sz w:val="27"/>
        </w:rPr>
        <w:t>四、 对我们统一异构 KVC 存储池项目的硬核技术启发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DirectKV 针对单机 CPU-GPU 架构的实测事实，对我们面向国产 AI 硬件的统一异构 KVCache 存储与调度底座建设具有极具价值的工程指导意义：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4.1 坚定推进 Host CPU 零数据拷贝底座（PVT-01），杜绝中间内存缓冲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启发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：Mooncake 等开源方案依赖 Host CPU 作为跳板（计算节点将 KV 拷入 Host 内存，再由网络发送；远端接收后再由 Host 写入显存），DirectKV 的数据证明了这种中转模式在显存利用率（多浪费 43%）和传输时延上的巨大劣势；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落地手段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：在 PVT-01 中，坚决落实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Payload Bypass DDR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 机制。无论是在本地 NVMe SSD 分层存储（PVT-05）还是跨节点 URMA/UBMEM 网络通信中，正文数据流严格通过设备级 DMA（P2P Direct DMA / GDS）在 NPU HBM 与远端存储/显存间直接打通，Host CPU 严格仅负责信令解析与元数据下发，正文数据触碰字节数（Touch Bytes）严格保持为 0。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4.2 警惕“朴素直读陷阱”，将 Direct-View 建立在严密的硬件能力矩阵与代价决策上（PVT-03 / PVT-04）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启发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：DirectKV 实锤证明——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链路带宽不足或未做流水优化时，直接远端读会比完整搬入甚至直接重算慢数十倍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！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落地手段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17365D"/>
          <w:sz w:val="20"/>
        </w:rPr>
        <w:t xml:space="preserve">1. 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在 PVT-03（Direct-View 与 Copy-to-HBM 边界判定）中，绝不能将“远端直读”作为默认必选路径；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17365D"/>
          <w:sz w:val="20"/>
        </w:rPr>
        <w:t xml:space="preserve">2. 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必须将硬件能力矩阵（CapabilityMatrix，运行时实测的各链路物理带宽与延迟参数）作为前置约束。当且仅当互连处于 UBMEM 超高速低延迟总线、且前缀复用度高时，才允许激活 Direct-View；在跨机慢速网络或 PCIe 链路受限时，必须果断走异步 Copy-to-HBM 或直接本地重算，杜绝性能倒挂。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4.3 强化描述符连续聚合与双流异步掩盖（PVT-02）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启发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：DirectKV 通过片上 SMEM 双缓冲流水掩盖了 92.4% 的传输时延，这是消除 I/O 停顿的核心武器；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落地手段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：在 PVT-02 中，通过 ExtentManifest 将跨框架离散物理 Block 贪心合并为 64 字节硬件 Scatter-Gather 连续描述符，配合底层 NPU Compute Stream 与 URMA DMA Stream 的双流解耦，在 NPU 执行前序计算时提前预取后续层所需 KV，实现传输开销的深度掩盖。</w:t>
      </w:r>
    </w:p>
    <w:p>
      <w:pPr>
        <w:spacing w:before="80" w:after="120"/>
        <w:pBdr>
          <w:bottom w:val="single" w:sz="4" w:space="3" w:color="D9E2F3"/>
        </w:pBdr>
      </w:pPr>
    </w:p>
    <w:p>
      <w:pPr>
        <w:spacing w:before="280" w:after="12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17365D"/>
          <w:sz w:val="27"/>
        </w:rPr>
        <w:t>五、 对本项目立项与架构答辩的硬核技术背书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在立项答辩与架构技术评审中，针对评委与技术委员会可能提出的核心质询，DirectKV 提供了第一性原理层面的硬核反驳依据：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5.1 质询一：“开源社区的 Mooncake 已经有成熟的分布式 Chunked Prefill 和 Transfer Engine，原厂为什么还要自研存储池底座？”</w:t>
      </w:r>
    </w:p>
    <w:p>
      <w:pPr>
        <w:spacing w:before="80" w:after="100" w:line="312" w:lineRule="auto"/>
        <w:pBdr>
          <w:left w:val="single" w:sz="24" w:space="12" w:color="17365D"/>
        </w:pBdr>
        <w:shd w:fill="EEF4F9"/>
      </w:pPr>
      <w:r>
        <w:rPr>
          <w:rFonts w:ascii="Arial" w:hAnsi="Arial"/>
          <w:rFonts w:ascii="Arial" w:hAnsi="Arial" w:eastAsia="Microsoft YaHei"/>
          <w:b/>
          <w:i w:val="0"/>
          <w:color w:val="17365D"/>
          <w:sz w:val="19"/>
        </w:rPr>
        <w:t>硬核反驳背书</w:t>
      </w: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>：</w:t>
      </w:r>
    </w:p>
    <w:p>
      <w:pPr>
        <w:spacing w:before="80" w:after="100" w:line="312" w:lineRule="auto"/>
        <w:pBdr>
          <w:left w:val="single" w:sz="24" w:space="12" w:color="17365D"/>
        </w:pBdr>
        <w:shd w:fill="EEF4F9"/>
      </w:pP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 xml:space="preserve">1. </w:t>
      </w:r>
      <w:r>
        <w:rPr>
          <w:rFonts w:ascii="Arial" w:hAnsi="Arial"/>
          <w:rFonts w:ascii="Arial" w:hAnsi="Arial" w:eastAsia="Microsoft YaHei"/>
          <w:b/>
          <w:i w:val="0"/>
          <w:color w:val="17365D"/>
          <w:sz w:val="19"/>
        </w:rPr>
        <w:t>开源 Mooncake 的 Host 中转架构存在天然物理缺陷（缺陷 M-01）</w:t>
      </w: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 xml:space="preserve">：Mooncake 在数据搬运时深度依赖 Host CPU 内存中转与系统软缓冲。OSDI '26 DirectKV 的实测事实表明，维护中间暂存缓冲区会导致 </w:t>
      </w:r>
      <w:r>
        <w:rPr>
          <w:rFonts w:ascii="Arial" w:hAnsi="Arial"/>
          <w:rFonts w:ascii="Arial" w:hAnsi="Arial" w:eastAsia="Microsoft YaHei"/>
          <w:b/>
          <w:i w:val="0"/>
          <w:color w:val="17365D"/>
          <w:sz w:val="19"/>
        </w:rPr>
        <w:t>GPU 显存白白浪费高达 43%</w:t>
      </w: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>，且数据跨 PCIe/DDR 多次往返使有效带宽腰斩、TTFT 大幅拉长；</w:t>
      </w:r>
    </w:p>
    <w:p>
      <w:pPr>
        <w:spacing w:before="80" w:after="100" w:line="312" w:lineRule="auto"/>
        <w:pBdr>
          <w:left w:val="single" w:sz="24" w:space="12" w:color="17365D"/>
        </w:pBdr>
        <w:shd w:fill="EEF4F9"/>
      </w:pP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 xml:space="preserve">2. </w:t>
      </w:r>
      <w:r>
        <w:rPr>
          <w:rFonts w:ascii="Arial" w:hAnsi="Arial"/>
          <w:rFonts w:ascii="Arial" w:hAnsi="Arial" w:eastAsia="Microsoft YaHei"/>
          <w:b/>
          <w:i w:val="0"/>
          <w:color w:val="17365D"/>
          <w:sz w:val="19"/>
        </w:rPr>
        <w:t>原厂软硬件协同的不可替代性</w:t>
      </w: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 xml:space="preserve">：只有原厂自研底座才能深度下潜至底层通信驱动（URMA/UBMEM）与硬件 DMA 引擎，实现真正的 </w:t>
      </w:r>
      <w:r>
        <w:rPr>
          <w:rFonts w:ascii="Arial" w:hAnsi="Arial"/>
          <w:rFonts w:ascii="Arial" w:hAnsi="Arial" w:eastAsia="Microsoft YaHei"/>
          <w:b/>
          <w:i w:val="0"/>
          <w:color w:val="17365D"/>
          <w:sz w:val="19"/>
        </w:rPr>
        <w:t>Host CPU 零数据拷贝（Payload Bypass DDR）</w:t>
      </w: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>。DirectKV 揭示的性能收益从底层体系结构上证实了：脱离原厂硬件直通驱动的纯应用层中转，根本无法触及物理性能上限。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5.2 质询二：“既然远端直读（Direct-View）省去了显存拷贝，为什么不把所有跨节点 KV 都做成全直读？”</w:t>
      </w:r>
    </w:p>
    <w:p>
      <w:pPr>
        <w:spacing w:before="80" w:after="100" w:line="312" w:lineRule="auto"/>
        <w:pBdr>
          <w:left w:val="single" w:sz="24" w:space="12" w:color="17365D"/>
        </w:pBdr>
        <w:shd w:fill="EEF4F9"/>
      </w:pPr>
      <w:r>
        <w:rPr>
          <w:rFonts w:ascii="Arial" w:hAnsi="Arial"/>
          <w:rFonts w:ascii="Arial" w:hAnsi="Arial" w:eastAsia="Microsoft YaHei"/>
          <w:b/>
          <w:i w:val="0"/>
          <w:color w:val="17365D"/>
          <w:sz w:val="19"/>
        </w:rPr>
        <w:t>硬核反驳背书</w:t>
      </w: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>：</w:t>
      </w:r>
    </w:p>
    <w:p>
      <w:pPr>
        <w:spacing w:before="80" w:after="100" w:line="312" w:lineRule="auto"/>
        <w:pBdr>
          <w:left w:val="single" w:sz="24" w:space="12" w:color="17365D"/>
        </w:pBdr>
        <w:shd w:fill="EEF4F9"/>
      </w:pP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 xml:space="preserve">1. </w:t>
      </w:r>
      <w:r>
        <w:rPr>
          <w:rFonts w:ascii="Arial" w:hAnsi="Arial"/>
          <w:rFonts w:ascii="Arial" w:hAnsi="Arial" w:eastAsia="Microsoft YaHei"/>
          <w:b/>
          <w:i w:val="0"/>
          <w:color w:val="17365D"/>
          <w:sz w:val="19"/>
        </w:rPr>
        <w:t>学术共识否定盲目零拷贝</w:t>
      </w: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 xml:space="preserve">：DirectKV 在顶会上首次量化揭露了“朴素零拷贝陷阱”——若不考虑物理链路带宽瓶颈与片上复用局部性，直接发起跨链路读取会导致注意力计算时延暴涨 </w:t>
      </w:r>
      <w:r>
        <w:rPr>
          <w:rFonts w:ascii="Arial" w:hAnsi="Arial"/>
          <w:rFonts w:ascii="Arial" w:hAnsi="Arial" w:eastAsia="Microsoft YaHei"/>
          <w:b/>
          <w:i w:val="0"/>
          <w:color w:val="17365D"/>
          <w:sz w:val="19"/>
        </w:rPr>
        <w:t>20 倍</w:t>
      </w: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>（PCIe 56ms 恶化至 1122ms），L2 Cache 命中率跌超一半；</w:t>
      </w:r>
    </w:p>
    <w:p>
      <w:pPr>
        <w:spacing w:before="80" w:after="100" w:line="312" w:lineRule="auto"/>
        <w:pBdr>
          <w:left w:val="single" w:sz="24" w:space="12" w:color="17365D"/>
        </w:pBdr>
        <w:shd w:fill="EEF4F9"/>
      </w:pP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 xml:space="preserve">2. </w:t>
      </w:r>
      <w:r>
        <w:rPr>
          <w:rFonts w:ascii="Arial" w:hAnsi="Arial"/>
          <w:rFonts w:ascii="Arial" w:hAnsi="Arial" w:eastAsia="Microsoft YaHei"/>
          <w:b/>
          <w:i w:val="0"/>
          <w:color w:val="17365D"/>
          <w:sz w:val="19"/>
        </w:rPr>
        <w:t>立项架构的先进性得以佐证</w:t>
      </w: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 xml:space="preserve">：本项目在架构设计之初就设立了 </w:t>
      </w:r>
      <w:r>
        <w:rPr>
          <w:rFonts w:ascii="Arial" w:hAnsi="Arial"/>
          <w:rFonts w:ascii="Arial" w:hAnsi="Arial" w:eastAsia="Microsoft YaHei"/>
          <w:b/>
          <w:i w:val="0"/>
          <w:color w:val="17365D"/>
          <w:sz w:val="19"/>
        </w:rPr>
        <w:t>PVT-03（边界判定与 ViewGuard 守卫）</w:t>
      </w: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 xml:space="preserve"> 与 </w:t>
      </w:r>
      <w:r>
        <w:rPr>
          <w:rFonts w:ascii="Arial" w:hAnsi="Arial"/>
          <w:rFonts w:ascii="Arial" w:hAnsi="Arial" w:eastAsia="Microsoft YaHei"/>
          <w:b/>
          <w:i w:val="0"/>
          <w:color w:val="17365D"/>
          <w:sz w:val="19"/>
        </w:rPr>
        <w:t>PVT-04（QueryPlan 微秒级动态选路引擎）</w:t>
      </w: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>，依据“拉取与加载总开销 &lt; 本地直接重算耗时”的前置门限自适应选择 Direct-View、Copy-to-HBM 或本地重算。DirectKV 的研究事实有力证明了我们这种</w:t>
      </w:r>
      <w:r>
        <w:rPr>
          <w:rFonts w:ascii="Arial" w:hAnsi="Arial"/>
          <w:rFonts w:ascii="Arial" w:hAnsi="Arial" w:eastAsia="Microsoft YaHei"/>
          <w:b/>
          <w:i w:val="0"/>
          <w:color w:val="17365D"/>
          <w:sz w:val="19"/>
        </w:rPr>
        <w:t>“动静结合、按代价决策选路”</w:t>
      </w: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>的架构设计是唯一正确的工业路径，绝非过度设计。</w:t>
      </w:r>
    </w:p>
    <w:p>
      <w:pPr>
        <w:spacing w:before="80" w:after="120"/>
        <w:pBdr>
          <w:bottom w:val="single" w:sz="4" w:space="3" w:color="D9E2F3"/>
        </w:pBdr>
      </w:pPr>
    </w:p>
    <w:p>
      <w:pPr>
        <w:spacing w:before="280" w:after="12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17365D"/>
          <w:sz w:val="27"/>
        </w:rPr>
        <w:t>六、 边界条件与不可直接迁移点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17365D"/>
          <w:sz w:val="20"/>
        </w:rPr>
        <w:t xml:space="preserve">1.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硬件互连平台差异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：DirectKV 极度依赖 NVIDIA GH200 专属的 900 GB/s NVLink-C2C 芯片间片上互连，其在 PCIe Gen5 下的性能表现显著受限。本项目面向的是国产 AI 芯片与通用服务器集群，跨机互连走的是 UBMEM/URMA，拓扑与带宽延迟特性截然不同，不能直接照搬其 GH200 绝对数值（如 0.75s 时延）；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17365D"/>
          <w:sz w:val="20"/>
        </w:rPr>
        <w:t xml:space="preserve">2.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单机架构 vs 分布式集群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：DirectKV 仅解决了单机 CPU-GPU 间的内存直读，完全未涉及跨网络节点的分布式目录检索、租约一致性、多卡张量并行（TP=8）集合通信死锁及多租户流量隔离；这些分布式关键挑战仍必须由本项目的分布式架构（如 ViewGuard、ConsumeEligibility、SemanticQoS）独立闭环解决；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17365D"/>
          <w:sz w:val="20"/>
        </w:rPr>
        <w:t xml:space="preserve">3.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内核算子闭源与适配门槛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：DirectKV 的算子融合深度绑定 NVIDIA CUTLASS 3.0 与 Hopper SMEM 硬件指令，在国产 NPU 架构下需要基于原厂算子库与计算图引擎进行定制化重新实现。</w:t>
      </w:r>
    </w:p>
    <w:sectPr w:rsidR="00FC693F" w:rsidRPr="0006063C" w:rsidSect="00034616">
      <w:pgSz w:w="11906" w:h="16838"/>
      <w:pgMar w:top="1417" w:right="1440" w:bottom="130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rFonts w:ascii="Arial" w:hAnsi="Arial" w:eastAsia="SimSun"/>
        <w:b w:val="0"/>
        <w:i w:val="0"/>
        <w:color w:val="666666"/>
        <w:sz w:val="18"/>
      </w:rPr>
      <w:t>—  页码 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rFonts w:ascii="Arial" w:hAnsi="Arial" w:eastAsia="SimSun"/>
        <w:b w:val="0"/>
        <w:i w:val="0"/>
        <w:color w:val="666666"/>
        <w:sz w:val="18"/>
      </w:rPr>
      <w:t>OSDI 2026 技术解构：DirectKV (OSDI '26)：长上下文大模型零拷贝 KVCa...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