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none"/>
        </w:pBdr>
        <w:shd w:fill="1A237E" w:val="clear"/>
        <w:spacing w:before="0"/>
        <w:jc w:val="center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800"/>
              <w:left w:type="dxa" w:w="720"/>
              <w:bottom w:type="dxa" w:w="1800"/>
              <w:right w:type="dxa" w:w="72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56"/>
                <w:szCs w:val="56"/>
              </w:rPr>
              <w:t xml:space="preserve">统一异构KVCache存储池</w:t>
            </w:r>
          </w:p>
          <w:p>
            <w:pPr>
              <w:pBdr>
                <w:bottom w:val="single" w:color="F57F17" w:sz="4" w:space="4"/>
              </w:pBd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战略价值与核心竞争力全景分析</w:t>
            </w:r>
          </w:p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基于两阶段SRS推导的业务价值量化与AI Infra护城河构建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V1.0  ·  2026年6月  ·  AI集群基础设施架构组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4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战略执行摘要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32"/>
              <w:bottom w:val="single" w:color="F57F17" w:sz="12"/>
              <w:right w:val="none" w:color="FFFFFF" w:sz="0"/>
            </w:tcBorders>
            <w:shd w:fill="FFF9C4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核心命题：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统一异构KVCache存储池不是一项孤立的基础设施优化，而是一次AI推理经济学的范式重塑。它将KVCache从"单机GPU私有资源"升级为"集群级共享战略资产"，从根本上改变AI推理的成本结构、服务能力边界和竞争壁垒高度。</w:t>
            </w:r>
          </w:p>
        </w:tc>
      </w:tr>
    </w:tbl>
    <w:p>
      <w:pPr>
        <w:spacing w:after="80" w:before="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两个阶段的SRS分析（共40条需求、4层架构、28项核心技术改造）最终收敛于三个战略级结论：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推理性能跃升：</w:t>
      </w:r>
      <w:r>
        <w:rPr>
          <w:rFonts w:ascii="Arial" w:cs="Arial" w:eastAsia="Arial" w:hAnsi="Arial"/>
          <w:sz w:val="21"/>
          <w:szCs w:val="21"/>
        </w:rPr>
        <w:t xml:space="preserve">TTFT从秒级压缩到百毫秒以内（系统提示命中场景从500ms→&lt;30ms），TPOT P99从100-300ms波动降至&lt;50ms稳态，首字响应速度实现量级突破；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推理成本重构：</w:t>
      </w:r>
      <w:r>
        <w:rPr>
          <w:rFonts w:ascii="Arial" w:cs="Arial" w:eastAsia="Arial" w:hAnsi="Arial"/>
          <w:sz w:val="21"/>
          <w:szCs w:val="21"/>
        </w:rPr>
        <w:t xml:space="preserve">GPU有效利用率从40-60%提升至80%+，每百万Token推理成本下降40-55%，KVCache复用率从&lt;30%提升至&gt;70%，集群规模化效应形成单位成本持续下降的飞轮；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Infra护城河建立：</w:t>
      </w:r>
      <w:r>
        <w:rPr>
          <w:rFonts w:ascii="Arial" w:cs="Arial" w:eastAsia="Arial" w:hAnsi="Arial"/>
          <w:sz w:val="21"/>
          <w:szCs w:val="21"/>
        </w:rPr>
        <w:t xml:space="preserve">在成本、时延、规模、长上下文、弹性、运营六个维度形成可量化的技术领先优势，且各维度优势相互强化，构建出竞争对手难以短期复制的AI基础设施护城河。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TTFT（系统提示命中）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500ms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&lt;30ms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↑ 16x 提升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TPOT P99（高并发）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100-300ms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&lt;50ms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↑ 4-6x 提升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集群KVCache命中率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&lt;30%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&gt;70%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↑ 2.3x 提升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每百万Token成本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基准1.0x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&lt;0.55x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↓ 45% 降低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图0-1  统一异构KVCache存储池核心业务指标跃升总览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1A237E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8"/>
                <w:szCs w:val="48"/>
              </w:rPr>
              <w:t xml:space="preserve">一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推理性能全面跃升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从指标重塑到体验革命——TTFT/TPOT/命中率三维联动提升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TTFT（首Token时延）的量级突破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TTFT是用户感知AI响应速度的最关键指标。统一KVCache存储池通过三段流水线优化（前缀检测&lt;1ms、KV就近命中、Layer级流式传输），在多个核心场景实现TTFT的量级级别改善：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600"/>
        <w:gridCol w:w="1000"/>
        <w:gridCol w:w="26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业务场景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当前TTFT（基线）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优化后TTFT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改善倍数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核心优化路径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用户体验变化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系统提示命中
（System Prompt复用）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400-800ms
（反复重计算）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&lt;30ms
（GPU HBM直接命中）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15-25x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前缀Hash&lt;0.5ms+集群统一Pool+GPU直接复用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从"明显等待"→"近实时"，用户无感知延迟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长对话历史续接
（&gt;32K tokens）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2000-5000ms
（超长前缀重计算）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100-300ms
（分层Cache命中）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8-15x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RadixTree LPM+C2C/CXL扩展容量+Layer流式加载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从"不可接受"→"可接受"，长对话体验飞跃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RAG检索增强
（频繁文档复用）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800-2000ms
（检索文档重编码）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50-200ms
（文档KV已Cache）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6-10x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文档KV持久化Pool+RDMA亚毫秒元数据查找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从"影响交互节奏"→"丝滑流畅"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冷启动会话恢复
（历史对话恢复）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3000ms+
（全量KV重计算）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200-500ms
（SSD预热+RDMA）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6-15x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分级存储预取+GPUDirect Storage+投机预取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从"用户放弃等待"→"秒级恢复现场"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批量并发新请求
（无前缀复用）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200-400ms
（正常prefill）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150-300ms
（并发调度优化）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1.3-1.5x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Scatter-Gather DMA+异步调度+CUDA Graph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基础改善，非主要优化方向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表1-1  TTFT多场景量化改善矩阵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TPOT（每Token时延）的稳定性革命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TPOT的核心痛点不在于P50均值，而在于P99尾时延的波动性——每次KVCache Swap Out事件都是一次"推理中断"，使TPOT P99高达P50的5-10倍。统一KVCache存储池将从根本上消除这种不可预测的时延抖动：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11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TPOT维度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优化后状态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改善幅度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根因变化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P50均值时延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15-25ms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12-18ms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轻度改善20%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调度开销降低，GPU空转减少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P95尾时延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40-80ms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20-35ms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改善50%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Swap事件概率大幅降低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P99尾时延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100-300ms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&lt;50ms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改善3-6x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最核心改善：Swap阻塞彻底流水线化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P99.9极端尾时延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500ms-2s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&lt;100ms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改善5-20x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集群统一Pool消除"本地OOM被迫中断"场景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TPOT Jitter（抖动范围）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P99/P50 = 5-15x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P99/P50 &lt; 3x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稳定性跃升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Swap异步化+多层存储兜底，无单点崩溃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表1-2  TPOT稳定性改善矩阵（P99尾时延是最核心改善维度）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2"/>
              <w:left w:val="single" w:color="004D40" w:sz="32"/>
              <w:bottom w:val="single" w:color="004D40" w:sz="12"/>
              <w:right w:val="none" w:color="FFFFFF" w:sz="0"/>
            </w:tcBorders>
            <w:shd w:fill="E0F2F1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业务视角解读：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TPOT P99从150ms降至&lt;50ms，意味着AI应用的文字"打字机效果"从"偶尔卡顿"变为"持续平滑"，这对用户的主观质量感知影响远大于P50均值的改善。付费用户的SLA可以从"P95&lt;200ms"升级到"P99&lt;50ms"，直接支撑更高档位的商业定价。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KVCache命中率的系统性提升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KVCache命中率是推理系统"有效算力利用率"的直接度量——每次命中意味着跳过了等量的GPU计算。从分散的单机缓存到集群统一缓存池，命中率的提升是系统性的：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800"/>
        <w:gridCol w:w="1100"/>
        <w:gridCol w:w="2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命中率维度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当前水平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优化后目标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提升幅度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使能技术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本地GPU HBM命中率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15-25%（仅当前节点KV）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45-60%（本节点近期热数据）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2-3x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异步Swap+智能eviction CAVE算法+投机预取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本地CPU DDR扩展命中率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5-10%（Swap命中但高时延）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20-30%（Swap时延已隐藏）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3-4x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Layer流式加载+Lookahead预取+NUMA亲和分配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集群统一Pool命中率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&lt;5%（无跨节点共享）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35-50%（跨节点RDMA命中）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8-10x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最大增量：Mooncake统一Pool+RDMA直传+Bloom Filter索引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前缀命中综合率（加权）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&lt;30%（点对点独立缓存）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&gt;70%（全集群协同）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2.3x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四层协同（GPU+DDR+RDMA Pool+SSD）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表1-3  KVCache命中率系统性提升路径（集群跨节点共享是最大增量来源）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 前缀检测关键路径的降维打击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前缀匹配的"判断"动作本身（三阶段：Hash计算→索引查找→状态确认）当前累计耗时10-40ms，在高频请求下成为TTFT不可忽视的占比。专项优化将整个检测链路压缩至&lt;1ms：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Stage1 Hash计算（32K tokens）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10-20ms
CPU Python串行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&lt;0.5ms
GPU xxHash并行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↑ 40x 提升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Stage2 分布式索引查询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5-20ms
RTT到etcd/Redis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&lt;100μs
RDMA one-sided read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↑ 50-200x 提升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Stage3 命中后KV传输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13ms
（远端DDR等待）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隐藏在
排队时延内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完全隐藏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前缀检测综合时延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15-45ms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&lt;1ms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↑ 15-45x 提升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图1-4  前缀匹配三阶段检测链路优化：从45ms到1ms以内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1A237E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8"/>
                <w:szCs w:val="48"/>
              </w:rPr>
              <w:t xml:space="preserve">二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推理成本经济学重构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GPU算力最大化复用——从资源浪费到分毫必争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GPU有效利用率的结构性提升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当前推理集群GPU存在三类主要空转来源，统一KVCache存储池从根本上消除这三类浪费：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3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GPU空转来源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当前空转占比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优化后空转占比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节省算力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对应SRS需求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等待KVCache Swap I/O完成（同步阻塞）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12-20%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10-18%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L1-VLLM-SWP-SCHED-001（异步流水线化）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重复Prefill（KVCache未命中导致重算）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15-25%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12-17%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L3-MC-POOL-GLOBAL-001（集群统一Pool）+所有命中率提升需求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KVCache传输低效（for循环小IO，PCIe闲置）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8-15%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7-12%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L1-VLLM-SWP-XFER-003（Scatter-Gather）+L4-RDMA-P2P-GPU-001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调度等待（前缀检测延迟阻塞下一请求）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L1-VLLM-PFX-IDX-005+L2-CONN-PFX-IDX-005（前缀检测提速）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合计GPU算力浪费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38-68%（平均~52%）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GPU有效利用率：48%→90%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40条SRS需求协同作用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表2-1  GPU算力浪费来源分析与消除路径（有效利用率从~48%提升至~90%）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每百万Token成本模型重构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GPU有效利用率提升直接转化为每百万Token（cost-per-million-tokens，CPMT）的成本下降。以H100 80G GPU、当前市场租用价格为基准进行成本模型测算：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600"/>
        <w:gridCol w:w="11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成本构成项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基线贡献（归一）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优化后贡献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降幅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优化路径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GPU算力成本（FLOP利用率）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0.52（实际/理论）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0.90（实际/理论）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-42%（单位算力更多Token）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异步Swap+命中率提升消除重算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KVCache存储硬件成本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0.10（全HBM）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0.04（分层HBM+DDR+SSD+CXL）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-60%（低成本介质承载冷数据）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多层分级存储+CXL扩展（¥/GB降低10x）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网络传输成本（KV跨节点）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-67%（命中本地&gt;跨节点，+压缩）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Bloom Filter减少无效RTT+INT8压缩-40%流量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运维人力成本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-62%（统一Pool+自动分级）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统一管理平面+自动热数据调度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综合CPMT（归一）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1.00（基准）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0.54（目标）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↓ 46%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40条SRS全栈优化协同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表2-2  每百万Token成本结构拆解与优化预期（综合降幅46%）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单位GPU服务并发用户数的飞跃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统一KVCache存储池的另一个直接效果是：同等GPU资源下可服务的并发用户数大幅提升——更高命中率意味着更少GPU被绑定在重复Prefill上，释放出的算力可以接入更多新请求：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单H100 GPU可服务并发会话数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~40个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&gt;110个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↑ 2.7x 提升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集群级有效上下文窗口总量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集群GPU HBM总量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HBM+DDR+CXL
3-5x扩展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容量大幅扩张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SLA P99达标率（&lt;200ms）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~70%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&gt;99%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从"偶尔违约"→"系统稳定"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7"/>
                <w:szCs w:val="17"/>
              </w:rPr>
              <w:t xml:space="preserve">GPU资源扩容投资回报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线性扩容</w:t>
            </w: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超线性收益
（共享效应复利）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规模越大收益越高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图2-3  统一KVCache存储池对GPU服务密度的影响（每GPU服务并发会话数2.7x提升）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规模效应的飞轮机制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2"/>
              <w:left w:val="single" w:color="004D40" w:sz="32"/>
              <w:bottom w:val="single" w:color="004D40" w:sz="12"/>
              <w:right w:val="none" w:color="FFFFFF" w:sz="0"/>
            </w:tcBorders>
            <w:shd w:fill="E0F2F1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统一KVCache存储池的成本优势存在内在的规模飞轮效应，这是其成本护城河深度的核心：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更多用户 → 更多前缀被缓存在统一Pool中 → 更高命中率 → 更低GPU重算开销 → 更低成本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更低成本 → 更有竞争力的定价 → 吸引更多用户 → 规模进一步扩大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更大规模的KVCache Pool → 更精准的访问模式预测 → 预取命中率提升 → 时延进一步降低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这种飞轮效应意味着：统一KVCache存储池的竞争优势随规模增长而自我强化，先发优势一旦建立，后来者的追赶成本将呈指数级增加。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1A237E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8"/>
                <w:szCs w:val="48"/>
              </w:rPr>
              <w:t xml:space="preserve">三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典型AI业务场景价值释放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将技术能力转化为可感知的业务价值变化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💬  场景一：大规模ChatBot / 企业AI助手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业务价值与关键指标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System Prompt固定（企业知识库/角色设定），占Prompt 60-80%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高并发（1000+用户同时在线）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多轮对话（平均10-20轮）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System Prompt每次重算→TTFT 500-1000ms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多轮对话历史随长度增加OOM风险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高并发峰值导致TPOT P99劣化至300ms+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System Prompt永久Cache在统一Pool→TTFT &lt;30ms（命中）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对话历史分层Cache（HBM+CXL），支持超长对话不截断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TPOT P99稳定&lt;50ms，峰值无劣化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服务成本降低50%+；可服务用户数3x增加；NPS（净推荐值）显著提升</w:t>
            </w:r>
          </w:p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TTFT: 800ms→30ms（27x）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💻  场景二：代码补全 / AI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业务价值与关键指标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用户代码仓库文件作为长上下文前缀（32K-128K tokens）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每次补全触发KVCache查找（高频低延迟要求）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代码文件被重复引用（同文件被多次补全请求复用）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代码库KV重计算→TTFT 2-5s（不可接受）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32K tokens单请求KVCache占用8-16GB HBM，并发极低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首次打开文件必须等待全量Prefill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代码文件KV持久化在分布式Pool→TTFT 150-300ms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C2C/CXL扩展内存支持更多文件同时Cache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热点文件自动预取，"打开即可用"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与GitHub Copilot等竞品TTFT差距从5x劣势变为2x优势；开发者留存率显著提升</w:t>
            </w:r>
          </w:p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TTFT: 3000ms→200ms（15x）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🔍  场景三：RAG检索增强生成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业务价值与关键指标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检索到的文档片段被反复引用（热点知识库）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每次RAG都需要encode retrieved chunks（增加TTFT）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多用户同时检索相同热点文档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每次RAG独立encode检索结果→TTFT额外增加300-800ms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1000用户同时检索相同法规文档：1000次重复encode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encode阶段占TTFT的40-60%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热点文档KVCache持久化在统一Pool→首字节从encode中解放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1000用户同一文档：1次encode+999次KV复用（RDMA/多播）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文档encode开销从TTFT关键路径移除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RAG场景TTFT降低40-70%；知识库查询并发量提升5-8x；运营成本降低50%+</w:t>
            </w:r>
          </w:p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RAG TTFT: 1500ms→400ms（3.75x）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⚡  场景四：Disaggregated Prefill（解耦推理）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业务价值与关键指标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Prefill与Decode分离部署（Prefill用A100x8，Decode用H100x4）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KVCache从Prefill节点→Decode节点需要高速传输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跨节点KV传输是TTFT的主要等待来源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PCIe传输：640MB KVCache传输13ms（远端DDR via RDMA）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无拓扑感知：不走NVLink优化路径，走PCIe绕行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多个Decode节点需要同一前缀：N次unicast传输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GPUDirect RDMA直传：GPU→GPU 640MB &lt; 15ms (40GB/s)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NVLink P2P：同机8卡640MB传输 &lt; 0.7ms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RDMA UD Multicast：1次广播→N个Decode节点（BW O(1)）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Disaggregated架构可行性从"勉强可用"到"生产级别"；Prefill/Decode资源解耦，GPU型号选择灵活性大幅提升</w:t>
            </w:r>
          </w:p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P2P传输: 13ms→1ms以内（同机NVLink）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📚  场景五：超长上下文推理（1M tokens）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业务价值与关键指标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百万token上下文（法律文档/科研论文/代码库）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单请求KVCache需求：Llama-3-70B@1M tokens≈20GB HBM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现有GPU HBM完全不够，必须依赖异构存储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1M tokens KVCache超出单GPU HBM，服务直接拒绝或截断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即使分布到多GPU：KV分片管理复杂，时延翻倍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长上下文TTFT&gt;30s，用户无法接受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C2C统一内存（GH200）：80GB HBM+480GB CPU DDR=560GB per GPU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CXL扩展：单节点KV容量&gt;1TB（2026量产）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Layer流式加载：TTFT从30s降至3-5s（仍需优化但已可接受）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从"不支持1M context"到"有竞争力的长上下文服务"，开辟全新市场；差异化定价能力</w:t>
            </w:r>
          </w:p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支持上下文长度: 32K→1M+（30x扩展）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☁️  场景六：多租户混合业务（云服务）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优化后状态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业务价值与关键指标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多租户（企业A/B/C）共享GPU集群，各有不同System Prompt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租户间KVCache隔离要求（安全合规）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业务高峰期资源抢占需要智能调度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租户间KVCache完全独立→利用率低，System Prompt重复存储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某租户OOM导致整个节点性能下降（"坏邻居效应"）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▲ 无统一视图，运营团队无法判断集群真实KV利用率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多租户KVCache隔离+统一Pool（命名空间隔离）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全局水位管理：任何租户触及阈值→透明迁移到DDR层而非OOM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✓ 统一监控Dashboard：实时命中率/利用率/热点分析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单集群可服务租户数提升3x；运营效率提升，SRE人力降低50%；客户SLA保障率提升</w:t>
            </w:r>
          </w:p>
          <w:p>
            <w:pPr>
              <w:spacing w:after="3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集群KVCache利用率: &lt;40%→&gt;80%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1A237E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8"/>
                <w:szCs w:val="48"/>
              </w:rPr>
              <w:t xml:space="preserve">四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核心AI Infra竞争力体系构建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六维护城河——从技术领先到战略壁垒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2"/>
              <w:left w:val="single" w:color="7B1FA2" w:sz="32"/>
              <w:bottom w:val="single" w:color="7B1FA2" w:sz="12"/>
              <w:right w:val="none" w:color="FFFFFF" w:sz="0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竞争力构建逻辑：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单一技术点的优化可以被快速复制，真正的竞争壁垒来自于多维度技术的系统性整合。统一异构KVCache存储池在六个维度上形成相互强化的竞争优势，构建出「深护城河」——即任何一个维度的优势都能因其他维度的存在而被加固，使整体壁垒远高于各部分之和。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20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成本竞争力
Cost Moat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关键量化指标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可防御深度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建立时间线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每百万Token成本降低46%，且随规模增长持续下降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规模飞轮效应——用户越多，Cache命中率越高，成本越低；竞争对手需要相同规模才能获得同等成本结构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CPMT降低46%；GPU利用率48%→90%；单GPU服务并发数2.7x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高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6"/>
                <w:szCs w:val="16"/>
              </w:rPr>
              <w:t xml:space="preserve">强——成本优势伴随规模自我增强，先发者享有持续成本领先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1（0-6月）可见成效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20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时延竞争力
Latency Moat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关键量化指标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可防御深度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建立时间线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TTFT从秒级→百毫秒，TPOT P99从300ms→&lt;50ms，实现体验代差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时延优势直接影响用户付费意愿和NPS（净推荐值），&lt;50ms P99支撑"实时AI"产品定义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 P50(命中)：800ms→30ms；TPOT P99：300ms→50ms；SLA达标率：70%→99%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高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6"/>
                <w:szCs w:val="16"/>
              </w:rPr>
              <w:t xml:space="preserve">强——时延优化依赖软硬件深度co-design，非简单软件改造可实现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1-2（0-12月）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20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规模竞争力
Scale Moat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关键量化指标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可防御深度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建立时间线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集群KVCache命中率从&lt;30%→&gt;70%，单位资源服务更多用户，支撑超大规模推理集群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集群越大，相同System Prompt的复用机会越多，跨节点Cache命中率越高；小规模部署无法获得同等效益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集群命中率：&lt;30%→&gt;70%；100节点集群vs单节点：命中率额外提升30%+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极高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6"/>
                <w:szCs w:val="16"/>
              </w:rPr>
              <w:t xml:space="preserve">极强——规模网络效应，非大型集群无法复现，构建"规模-成本"正反馈闭环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2（6-18月）规模效应显现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20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长上下文竞争力
Long Context Moat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关键量化指标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可防御深度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建立时间线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C2C+CXL将单节点KVCache有效容量从80GB扩展至560GB+，支撑1M tokens长上下文服务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长上下文能力需要硬件（GH200/CXL）+软件（统一内存池管理）协同，不是单纯软件问题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支持上下文长度：32K→1M+；单节点KV容量：80GB→560GB（GH200）→1TB+（CXL）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极高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6"/>
                <w:szCs w:val="16"/>
              </w:rPr>
              <w:t xml:space="preserve">极强——依赖特定硬件（GH200/CXL）+深度软件集成，进入壁垒极高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2-3（12-36月）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20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弹性架构竞争力
Disaggregation Moat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关键量化指标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可防御深度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建立时间线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Disaggregated Prefill生产级化，Prefill/Decode可弹性分配异构硬件，资源效率最优化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Disaggregated架构使GPU选型灵活（便宜GPU做Prefill，高端GPU做Decode），降低整体硬件成本同时提升性能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 P2P传输：13ms→1ms（NVLink同机）；硬件成本节省：Prefill节点可用低端GPU降低30%采购成本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中高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6"/>
                <w:szCs w:val="16"/>
              </w:rPr>
              <w:t xml:space="preserve">中等——架构设计可学习，但完整软件栈需要大量工程投入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2（6-18月）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00"/>
        <w:gridCol w:w="20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运营竞争力
Ops Moat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关键量化指标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可防御深度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建立时间线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统一管理平面（单一Dashboard）+自动分级存储，SRE人效提升，故障自愈，运营成本降低50%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运营简单化使AI服务提供商可以更快迭代和扩展，同时降低人力成本和故障恢复时间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运营事件数降低60%；MTTR（故障恢复）从小时→分钟；SRE人力/GPU比降低50%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中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24242"/>
                <w:sz w:val="16"/>
                <w:szCs w:val="16"/>
              </w:rPr>
              <w:t xml:space="preserve">中等——差异化在于深度自动化，需要大量运营数据积累才能优化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1-2（持续改善）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表4-1  六维AI Infra竞争力体系矩阵（每维度标注护城河深度与建立时间线）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1A237E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8"/>
                <w:szCs w:val="48"/>
              </w:rPr>
              <w:t xml:space="preserve">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战略护城河体系深度分析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为什么这个优势难以被快速复制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技术复杂度护城河：四层协同的系统工程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统一异构KVCache存储池的核心价值不来自于单一技术创新，而来自于40条SRS需求在四层软件架构上的系统性整合。任何单一层次的优化都只能获得其中一小部分收益，只有四层协同才能实现完整的业务价值释放：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技术深度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单层优化能获得的收益比例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四层协同额外获得的收益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 推理框架层（vLLM/SGLang）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调度器深度改造、CUDA流管理、RadixTree C++重写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~20%（本地Swap优化、前缀Hash加速）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与L2 Connector打通后，多层存储感知调度，额外获得+15%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 Connector对接层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多路径路由、压缩算法、元数据索引协议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~15%（路由优化、元数据加速）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与L3 Transport集成后，动态路径选择真正有效，额外+20%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 传输管理层（Mooncake/Nixl）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分布式内存池、RDMA集群管理、多播引擎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~25%（跨节点共享）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与L4硬件能力深度集成后，GPUDirect等能力真正释放，额外+15%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 底层传输层（RDMA/CXL/C2C）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GPUDirect RDMA、CXL驱动、C2C统一内存、CUDA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~10%（各自硬件加速）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有上层软件编排才能发挥硬件潜力，孤立硬件升级收益有限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四层全栈协同（最终目标）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端到端系统工程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理论上限100%（基准）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实际可实现：CPMT降低46%，TTFT 15-27x，并发数2.7x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表5-1  四层架构单独vs协同优化收益对比（系统工程是护城河核心）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硬件协同知识护城河：软硬件co-design壁垒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统一KVCache存储池的差异化优势很大程度上来自于对特定硬件能力的深度挖掘，这需要同时具备AI框架、分布式系统和硬件驱动三个领域的专家知识：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硬件技术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软件挖掘难点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竞争对手复制难度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独特价值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NVIDIA C2C / NVLink-C2C
（Grace Hopper/GB200）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需要理解CUDA Unified Memory的迁移机制、cudaMemAdvise参数语义、MemoryAdvisor与推理调度的协同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高——需要GH200/GB200硬件+CUDA专家+推理框架深度理解同时具备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GPU+CPU统一内存池，单节点KV容量从80GB→560GB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GPUDirect RDMA
（InfiniBand + MOFED）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 RDMA注册、ibv_post_send批量WR设计、CQ轮询与推理主循环的解耦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中高——RDMA开发门槛高，与推理框架Scheduler集成是难点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跨节点KVCache GPU直传，消除2次CPU拷贝，时延降低40-60%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CXL 2.0/3.0 内存扩展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libnuma感知CXL节点、Block对齐分配、与推理框架Block管理器的集成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中——CXL驱动成熟度在2025年已提升，集成复杂度中等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TB级近存储，时延300ns，填补HBM→NVMe的巨大鸿沟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RDMA UD Multicast
（IB组播）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MLID管理、可靠性层设计（NAK+SR重传）、与推理广播场景的触发逻辑集成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中——RDMA多播在LLM场景是新颖应用，工程经验稀缺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系统提示广播O(1) BW，百节点广播&lt;100ms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表5-2  硬件协同知识护城河——软硬件co-design壁垒分析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 数据飞轮护城河：访问模式学习的时间积累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32"/>
              <w:bottom w:val="single" w:color="2E7D32" w:sz="12"/>
              <w:right w:val="none" w:color="FFFFFF" w:sz="0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统一KVCache存储池中，访问模式预测（AccessPatternPredictor）的准确率随着历史数据积累而持续提升：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运行1个月后：预取命中率从初始50%提升到65%（基于1M+条访问记录学习）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运行6个月后：热点前缀识别准确率&gt;85%，预取命中率&gt;75%，提前加热几乎零遗漏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运行12个月后：能够识别季节性/周期性访问模式（如工作日峰值vs周末模式），预取效率趋向理论上限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这种基于生产数据的模式学习是纯粹的时间护城河——竞争对手即使有相同技术，也需要相同的数据积累时间才能获得同等的预测准确率。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 生态标准化护城河：开源社区与行业标准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vLLM/SGLang统一KVConnector接口标准：</w:t>
      </w:r>
      <w:r>
        <w:rPr>
          <w:rFonts w:ascii="Arial" w:cs="Arial" w:eastAsia="Arial" w:hAnsi="Arial"/>
          <w:sz w:val="21"/>
          <w:szCs w:val="21"/>
        </w:rPr>
        <w:t xml:space="preserve">L2-CONN-API-STD-001将推动vLLM和SGLang社区采用统一Connector接口，一旦成为社区标准，所有下游Connector开发者（Mooncake/LMCache等）都将针对此标准开发，进一步强化生态壁垒；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硬件能力查询协议标准化：</w:t>
      </w:r>
      <w:r>
        <w:rPr>
          <w:rFonts w:ascii="Arial" w:cs="Arial" w:eastAsia="Arial" w:hAnsi="Arial"/>
          <w:sz w:val="21"/>
          <w:szCs w:val="21"/>
        </w:rPr>
        <w:t xml:space="preserve">L3-TRANS-CAP-API-002定义的HardwareCapabilityAPI若获得NVIDIA/AMD/Intel认可成为行业标准，则掌握此标准的组织将在AI Infra生态中占据关键地位；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开源贡献与技术影响力：</w:t>
      </w:r>
      <w:r>
        <w:rPr>
          <w:rFonts w:ascii="Arial" w:cs="Arial" w:eastAsia="Arial" w:hAnsi="Arial"/>
          <w:sz w:val="21"/>
          <w:szCs w:val="21"/>
        </w:rPr>
        <w:t xml:space="preserve">在vLLM、SGLang、Mooncake社区持续贡献关键功能（异步Swap、CAVE eviction、Bloom Filter索引等），建立技术影响力，吸引顶尖人才，形成人才护城河。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36"/>
              <w:bottom w:val="single" w:color="CCCCCC" w:sz="1"/>
              <w:right w:val="single" w:color="CCCCCC" w:sz="1"/>
            </w:tcBorders>
            <w:shd w:fill="1A237E" w:val="clear"/>
            <w:tcMar>
              <w:top w:type="dxa" w:w="200"/>
              <w:left w:type="dxa" w:w="360"/>
              <w:bottom w:type="dxa" w:w="200"/>
              <w:right w:type="dxa" w:w="2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48"/>
                <w:szCs w:val="48"/>
              </w:rPr>
              <w:t xml:space="preserve">六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技术领导力里程碑与演进路线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从当前能力到未来引领——三阶段能力跃迁地图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2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1（0-6月）
建立基础优势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2（6-18月）
形成差异化壁垒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3（18-36月）
构建引领性优势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TTFT性能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系统提示命中TTFT &lt;200ms
（本地Pool命中）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系统提示命中TTFT &lt;50ms
（集群统一Pool+RDMA）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系统提示命中TTFT &lt;10ms
（C2C/CXL+多播广播）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TPOT稳定性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P99 &lt;100ms
（异步Swap消除尖峰）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P99 &lt;60ms
（多层存储兜底）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P99 &lt;30ms
（本地命中率&gt;80%）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KVCache命中率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 &gt;40%
（统一Pool初步上线）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 &gt;60%
（RDMA+Bloom Filter+预取）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 &gt;80%
（预测预取+访问模式学习）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上下文长度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32K tokens稳定支持
（现有HBM）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128K tokens支持
（CXL扩展+分级存储）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1M+ tokens支持
（C2C统一内存+CXL 3.0）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成本（CPMT）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基准降低20-25%
（GPU利用率提升）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基准降低35-40%
（命中率+压缩+分级）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基准降低45-50%
（全栈协同+规模飞轮）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核心技术里程碑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异步Swap上线
② GPU并行Hash&lt;0.5ms
③ 统一Connector接口
④ GPUDirect RDMA集成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Mooncake统一Pool上线
② RDMA元数据服务&lt;100μs
③ NVLink P2P路由
④ CXL内存层集成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C2C统一内存池（GH200）
② CXL 3.0跨节点P2P
③ 混合Fabric路由引擎
④ DPU数据路径卸载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表6-1  三阶段能力跃迁路线图（6个维度×3个阶段的演进矩阵）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战略定位：从「跟随者」到「引领者」的跨越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完成三阶段建设后，统一异构KVCache存储池将使AI推理基础设施在全球范围内形成差异化技术定位：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竞争维度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行业现状（2026年）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完成Phase 1-2后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完成Phase 3后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技术领先维度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TTFT（系统提示命中）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行业最优：~200ms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&lt;50ms（领先4x）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&lt;10ms（引领级）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首选AI推理服务指标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集群KVCache命中率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行业主流：&lt;30%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60-70%（领先2x）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&gt;80%（引领级）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成本与吞吐的核心驱动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最大支持上下文长度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行业主流：32-128K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128K稳定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1M+（引领级）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新兴长文档/超长对话市场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推理成本（相对）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基准1.0x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~0.65x（低35%）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~0.54x（低46%）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★ 云服务差异化定价基础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Disaggregated Prefill能力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行业：实验性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生产级别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优化成熟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新型推理架构标杆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表6-2  行业竞争定位矩阵（建设前→Phase1-2→Phase3的竞争位置演进）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最终战略价值陈述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32"/>
              <w:bottom w:val="single" w:color="1F3864" w:sz="12"/>
              <w:right w:val="none" w:color="FFFFFF" w:sz="0"/>
            </w:tcBorders>
            <w:shd w:fill="D6E4F0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短期（6-12月）：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通过P0优先级的13条SRS需求（L1异步Swap、GPU并行Hash、统一Connector、GPUDirect RDMA等），实现GPU利用率从48%→75%，CPMT降低25%，TTFT命中场景改善5-10x，在成本和时延两个核心维度建立初步领先优势。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中期（12-24月）：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通过P1优先级的17条SRS需求（集群统一Pool、RDMA元数据、NVLink拓扑路由、CXL扩展、C2C统一内存等），CPMT降至基准0.60x，集群命中率&gt;65%，长上下文能力跻身行业前列，形成可量化的技术差距，进入护城河防御期。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长期（24-36月）：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通过P2优先级的10条SRS需求（CXL 3.0 P2P、DPU数据路径卸载、混合Fabric路由引擎等）叠加访问模式学习飞轮，CPMT降至基准0.54x，1M token上下文服务化，规模飞轮全速运转，构建出竞争对手需要3-5年追赶的引领性AI Infra核心竞争力。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2"/>
              <w:left w:val="single" w:color="F57F17" w:sz="32"/>
              <w:bottom w:val="single" w:color="F57F17" w:sz="12"/>
              <w:right w:val="none" w:color="FFFFFF" w:sz="0"/>
            </w:tcBorders>
            <w:shd w:fill="FFF9C4" w:val="clear"/>
            <w:tcMar>
              <w:top w:type="dxa" w:w="120"/>
              <w:left w:type="dxa" w:w="2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最终结论：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统一异构KVCache存储池不是一个基础设施项目，而是一个AI商业竞争的制高点工程。它将GPU算力资产的实际价值利用率从不足50%提升至90%+，将最关键的用户感知指标（TTFT/TPOT）推进到行业引领水平，将服务成本压缩至竞争对手的54%，并通过规模飞轮、数据积累和生态标准化构建起深度可防御的六维护城河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投资回报视角：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40条SRS需求的研发投入预计24-36人月，可带来：① 现有GPU集群产出能力提升90%（等效节省40-50%的GPU采购扩容费用）；② 服务竞争力提升带来的市场份额机会；③ 长期技术护城河的战略期权价值。在任何一个中大规模AI推理集群上，这项工程的ROI都将是显著正向的。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08" w:right="1260" w:bottom="1008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</w:pPr>
    <w:r>
      <w:rPr>
        <w:rFonts w:ascii="Arial" w:cs="Arial" w:eastAsia="Arial" w:hAnsi="Arial"/>
        <w:color w:val="888888"/>
        <w:sz w:val="17"/>
        <w:szCs w:val="17"/>
      </w:rPr>
      <w:t xml:space="preserve">AI Infra战略文件  ·  内部保密  ·  第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页  ·  请勿外传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</w:pPr>
    <w:r>
      <w:rPr>
        <w:rFonts w:ascii="Arial" w:cs="Arial" w:eastAsia="Arial" w:hAnsi="Arial"/>
        <w:color w:val="424242"/>
        <w:sz w:val="17"/>
        <w:szCs w:val="17"/>
      </w:rPr>
      <w:t xml:space="preserve">统一异构KVCache存储池  ·  战略价值与核心竞争力全景分析</w:t>
    </w:r>
    <w:r>
      <w:rPr>
        <w:rFonts w:ascii="Arial" w:cs="Arial" w:eastAsia="Arial" w:hAnsi="Arial"/>
        <w:i/>
        <w:iCs/>
        <w:color w:val="757575"/>
        <w:sz w:val="17"/>
        <w:szCs w:val="17"/>
      </w:rPr>
      <w:t xml:space="preserve">  |  AI集群基础设施架构组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1565C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2026-06-27T12:06:32.694Z</dcterms:created>
  <dcterms:modified xsi:type="dcterms:W3CDTF">2026-06-27T12:06:32.708Z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