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34"/>
        </w:rPr>
        <w:t>Milestone One</w:t>
      </w:r>
    </w:p>
    <w:p>
      <w:pPr>
        <w:spacing w:after="80"/>
        <w:jc w:val="center"/>
      </w:pPr>
      <w:r>
        <w:rPr>
          <w:sz w:val="26"/>
        </w:rPr>
        <w:t>Vision-Based UAS Detection: Reproducing a Benchmark and Auditing It</w:t>
      </w:r>
    </w:p>
    <w:p>
      <w:pPr>
        <w:spacing w:after="360"/>
        <w:jc w:val="center"/>
      </w:pPr>
      <w:r>
        <w:rPr>
          <w:color w:val="808080"/>
          <w:sz w:val="22"/>
        </w:rPr>
        <w:t>[Your name]   |   [Course]   |   [Date]</w:t>
      </w:r>
    </w:p>
    <w:p>
      <w:pPr>
        <w:pStyle w:val="Heading1"/>
      </w:pPr>
      <w:r>
        <w:rPr>
          <w:rFonts w:ascii="Times New Roman" w:hAnsi="Times New Roman"/>
          <w:b/>
          <w:color w:val="000000"/>
          <w:sz w:val="28"/>
        </w:rPr>
        <w:t>1. Related-Work Synthesis</w:t>
      </w:r>
    </w:p>
    <w:p>
      <w:pPr>
        <w:spacing w:after="200"/>
        <w:jc w:val="both"/>
      </w:pPr>
      <w:r>
        <w:rPr>
          <w:b w:val="0"/>
          <w:i w:val="0"/>
        </w:rPr>
        <w:t xml:space="preserve">Work on vision-based counter-UAS divides on a question that is rarely stated directly: whether a camera alone is a sufficient sensor. Zhao et al. (2022) take the affirmative position explicitly, assuming computer vision has become mature enough for the task, and building the 10,000-image RGB-only DUT Anti-UAV detection dataset to support it. Their argument against the alternatives is economic rather than technical — they characterise radar, radio-frequency and acoustic approaches (Hoffmann et al. 2016; Abunada et al. 2020; Chang et al. 2018) as costly and noise-susceptible, and therefore confined to airports and similar high-value sites. The opposing camp does not really answer that argument. Shi et al. (2018) propose a multi-sensor architecture as the appropriate design, and Jiang et al. (2021) build the Anti-UAV benchmark from paired RGB </w:t>
      </w:r>
      <w:r>
        <w:rPr>
          <w:b/>
          <w:i w:val="0"/>
        </w:rPr>
        <w:t>and infrared</w:t>
      </w:r>
      <w:r>
        <w:rPr>
          <w:b w:val="0"/>
          <w:i w:val="0"/>
        </w:rPr>
        <w:t xml:space="preserve"> video — a design decision that is itself a claim that visible light alone is insufficient. The disagreement is real but the two sides argue on different axes: one about deployment cost, the other about robustness. Neither tests the other's premise.</w:t>
      </w:r>
    </w:p>
    <w:p>
      <w:pPr>
        <w:spacing w:after="200"/>
        <w:jc w:val="both"/>
      </w:pPr>
      <w:r>
        <w:rPr>
          <w:b w:val="0"/>
          <w:i w:val="0"/>
        </w:rPr>
        <w:t>A second disagreement concerns what actually makes the problem hard, and it produces incompatible evaluation practices. DUT frames the difficulty as small-target detection against complex backgrounds, and its dataset is built accordingly — half its annotated drones occupy fewer than 32×32 pixels. The Drone-vs-Bird challenge (Coluccia et al. 2019) frames it instead as discrimination: the problem is not seeing the object but deciding it is not a bird. These are different tasks with different failure modes, and a system optimised for one is not evaluated on the other. Isaac-Medina et al. (2021) take a third position, treating generalisation across datasets as the real test, and benchmark Faster R-CNN, YOLOv3, SSD and DETR over three integrated UAV datasets. DUT responds to that work directly, claiming its own experiments are more thorough, and evaluates fourteen detector–backbone combinations. Neither benchmark evaluates on the other's data, so the competing claims to authority remain unresolved.</w:t>
      </w:r>
    </w:p>
    <w:p>
      <w:pPr>
        <w:spacing w:after="200"/>
        <w:jc w:val="both"/>
      </w:pPr>
      <w:r>
        <w:rPr>
          <w:b w:val="0"/>
          <w:i w:val="0"/>
        </w:rPr>
        <w:t>Where the literature does converge is on architecture, and the result is counterintuitive. In DUT's Table II, the two-stage Cascade R-CNN with a ResNet-50 backbone achieves the best accuracy at 0.683 mAP but only 10.7 FPS, while the one-stage YOLOX with ResNet-18 reaches 53.7 FPS at 0.400 mAP. The five-fold speed advantage of the one-stage detector comes with a substantial accuracy cost — a sharper tradeoff than in general-purpose detection, where modern one-stage detectors are broadly competitive. This suggests something specific to small-target UAV detection favours explicit region proposal, which none of these papers investigates directly.</w:t>
      </w:r>
    </w:p>
    <w:p>
      <w:pPr>
        <w:spacing w:after="200"/>
        <w:jc w:val="both"/>
      </w:pPr>
      <w:r>
        <w:rPr>
          <w:b w:val="0"/>
          <w:i w:val="0"/>
        </w:rPr>
        <w:t xml:space="preserve">The gap this project occupies follows from what none of this work measures. Every study above reports mean average precision on curated test sets in which a drone is almost always present: DUT contains three drone-free images out of ten thousand. No paper in this group reports a false-alarm rate under conditions resembling deployment, although that rate, not mAP, determines whether such a system is usable. Relatedly, none reports an evaluation-hygiene audit. DUT's official split is frame-level over video sequences rather than clip-level, and a perceptual-hash audit conducted for this project found that 64.8% of its test images have a near-duplicate in the training set — which means published DUT accuracies, including the 0.683 figure, are optimistic as measures of generalisation to unseen scenes. Finally, this literature predates mandatory Remote ID broadcast, which makes radio detection of </w:t>
      </w:r>
      <w:r>
        <w:rPr>
          <w:b w:val="0"/>
          <w:i/>
        </w:rPr>
        <w:t>compliant</w:t>
      </w:r>
      <w:r>
        <w:rPr>
          <w:b w:val="0"/>
          <w:i w:val="0"/>
        </w:rPr>
        <w:t xml:space="preserve"> drones inexpensive. That reframes the central disagreement: the useful question is no longer whether vision beats RF, but what vision contributes given RF — namely, detection of the non-compliant aircraft that a security application actually cares about.</w:t>
      </w:r>
    </w:p>
    <w:p>
      <w:pPr>
        <w:pStyle w:val="Heading2"/>
      </w:pPr>
      <w:r>
        <w:rPr>
          <w:rFonts w:ascii="Times New Roman" w:hAnsi="Times New Roman"/>
          <w:b/>
          <w:color w:val="000000"/>
          <w:sz w:val="24"/>
        </w:rPr>
        <w:t>How the plan changed since the proposal</w:t>
      </w:r>
    </w:p>
    <w:p>
      <w:pPr>
        <w:spacing w:after="120"/>
        <w:jc w:val="both"/>
      </w:pPr>
      <w:r>
        <w:rPr>
          <w:b/>
          <w:i w:val="0"/>
          <w:color w:val="B03030"/>
        </w:rPr>
        <w:t xml:space="preserve">REWRITE THIS AGAINST YOUR ACTUAL PROPOSAL. </w:t>
      </w:r>
      <w:r>
        <w:rPr>
          <w:b w:val="0"/>
          <w:i/>
        </w:rPr>
        <w:t xml:space="preserve">The items below are what changed during implementation; I do not know what your proposal committed to. </w:t>
      </w:r>
    </w:p>
    <w:p>
      <w:pPr>
        <w:spacing w:after="200"/>
        <w:jc w:val="both"/>
      </w:pPr>
      <w:r>
        <w:rPr>
          <w:b w:val="0"/>
          <w:i w:val="0"/>
        </w:rPr>
        <w:t>The plan changed in three ways, all in response to what the data turned out to be. First, the annotations were Pascal VOC XML rather than YOLO format and required conversion, with images and annotations stored in separate directories. Second, 417 background images were added from COCO 2017, because the original dataset contains only three drone-free images in ten thousand and therefore cannot teach the model to decline to fire; these were added to the training and validation splits only, leaving the test split as published. Third, and most consequentially, the evaluation-hygiene audit revealed substantial cross-split near-duplication that was not anticipated, and which changes how the final result must be reported — this finding has become a component of the project's contribution rather than merely a caveat on it.</w:t>
      </w:r>
    </w:p>
    <w:p>
      <w:r>
        <w:br w:type="page"/>
      </w:r>
    </w:p>
    <w:p>
      <w:pPr>
        <w:spacing w:before="240" w:after="120"/>
        <w:jc w:val="left"/>
      </w:pPr>
      <w:r>
        <w:rPr>
          <w:rFonts w:ascii="Times New Roman" w:hAnsi="Times New Roman"/>
          <w:b/>
          <w:color w:val="000000"/>
          <w:sz w:val="24"/>
        </w:rPr>
        <w:t>References</w:t>
      </w:r>
    </w:p>
    <w:p>
      <w:pPr>
        <w:spacing w:before="0" w:after="120"/>
        <w:ind w:left="720" w:hanging="720"/>
        <w:jc w:val="left"/>
      </w:pPr>
      <w:r>
        <w:rPr>
          <w:rFonts w:ascii="Times New Roman" w:hAnsi="Times New Roman"/>
          <w:b w:val="0"/>
          <w:color w:val="000000"/>
          <w:sz w:val="22"/>
        </w:rPr>
        <w:t>Abunada, A. H., Osman, A. Y., Khandakar, A., Chowdhury, M. E. H., Khattab, T., &amp; Touati, F. (2020). Design and implementation of an RF based anti-drone system. IEEE International Conference on Informatics, IoT, and Enabling Technologies, 35–42.</w:t>
      </w:r>
    </w:p>
    <w:p>
      <w:pPr>
        <w:spacing w:before="0" w:after="120"/>
        <w:ind w:left="720" w:hanging="720"/>
        <w:jc w:val="left"/>
      </w:pPr>
      <w:r>
        <w:rPr>
          <w:rFonts w:ascii="Times New Roman" w:hAnsi="Times New Roman"/>
          <w:b w:val="0"/>
          <w:color w:val="000000"/>
          <w:sz w:val="22"/>
        </w:rPr>
        <w:t>Cai, Z., &amp; Vasconcelos, N. (2018). Cascade R-CNN: Delving into high quality object detection. IEEE CVPR, 6154–6162.</w:t>
      </w:r>
    </w:p>
    <w:p>
      <w:pPr>
        <w:spacing w:before="0" w:after="120"/>
        <w:ind w:left="720" w:hanging="720"/>
        <w:jc w:val="left"/>
      </w:pPr>
      <w:r>
        <w:rPr>
          <w:rFonts w:ascii="Times New Roman" w:hAnsi="Times New Roman"/>
          <w:b w:val="0"/>
          <w:color w:val="000000"/>
          <w:sz w:val="22"/>
        </w:rPr>
        <w:t>Carion, N., Massa, F., Synnaeve, G., Usunier, N., Kirillov, A., &amp; Zagoruyko, S. (2020). End-to-end object detection with transformers. ECCV, 213–229.</w:t>
      </w:r>
    </w:p>
    <w:p>
      <w:pPr>
        <w:spacing w:before="0" w:after="120"/>
        <w:ind w:left="720" w:hanging="720"/>
        <w:jc w:val="left"/>
      </w:pPr>
      <w:r>
        <w:rPr>
          <w:rFonts w:ascii="Times New Roman" w:hAnsi="Times New Roman"/>
          <w:b w:val="0"/>
          <w:color w:val="000000"/>
          <w:sz w:val="22"/>
        </w:rPr>
        <w:t>Chang, X., Yang, C., Wu, J., Shi, X., &amp; Shi, Z. (2018). A surveillance system for drone localization and tracking using acoustic arrays. IEEE SAM Workshop, 573–577.</w:t>
      </w:r>
    </w:p>
    <w:p>
      <w:pPr>
        <w:spacing w:before="0" w:after="120"/>
        <w:ind w:left="720" w:hanging="720"/>
        <w:jc w:val="left"/>
      </w:pPr>
      <w:r>
        <w:rPr>
          <w:rFonts w:ascii="Times New Roman" w:hAnsi="Times New Roman"/>
          <w:b w:val="0"/>
          <w:color w:val="000000"/>
          <w:sz w:val="22"/>
        </w:rPr>
        <w:t>Coluccia, A., Fascista, A., Schumann, A., Sommer, L., Ghenescu, M., Piatrik, T., De Cubber, G., Nalamati, M., Kapoor, A., &amp; Saqib, M. (2019). Drone-vs-bird detection challenge at IEEE AVSS 2019. IEEE AVSS, 1–7.</w:t>
      </w:r>
    </w:p>
    <w:p>
      <w:pPr>
        <w:spacing w:before="0" w:after="120"/>
        <w:ind w:left="720" w:hanging="720"/>
        <w:jc w:val="left"/>
      </w:pPr>
      <w:r>
        <w:rPr>
          <w:rFonts w:ascii="Times New Roman" w:hAnsi="Times New Roman"/>
          <w:b w:val="0"/>
          <w:color w:val="000000"/>
          <w:sz w:val="22"/>
        </w:rPr>
        <w:t>Ge, Z., Liu, S., Wang, F., Li, Z., &amp; Sun, J. (2021). YOLOX: Exceeding YOLO series in 2021. arXiv:2107.08430.</w:t>
      </w:r>
    </w:p>
    <w:p>
      <w:pPr>
        <w:spacing w:before="0" w:after="120"/>
        <w:ind w:left="720" w:hanging="720"/>
        <w:jc w:val="left"/>
      </w:pPr>
      <w:r>
        <w:rPr>
          <w:rFonts w:ascii="Times New Roman" w:hAnsi="Times New Roman"/>
          <w:b w:val="0"/>
          <w:color w:val="000000"/>
          <w:sz w:val="22"/>
        </w:rPr>
        <w:t>Hoffmann, F., Ritchie, M., Fioranelli, F., Charlish, A., &amp; Griffiths, H. (2016). Micro-Doppler based detection and tracking of UAVs with multistatic radar. IEEE Radar Conference, 1–6.</w:t>
      </w:r>
    </w:p>
    <w:p>
      <w:pPr>
        <w:spacing w:before="0" w:after="120"/>
        <w:ind w:left="720" w:hanging="720"/>
        <w:jc w:val="left"/>
      </w:pPr>
      <w:r>
        <w:rPr>
          <w:rFonts w:ascii="Times New Roman" w:hAnsi="Times New Roman"/>
          <w:b w:val="0"/>
          <w:color w:val="000000"/>
          <w:sz w:val="22"/>
        </w:rPr>
        <w:t>Isaac-Medina, B. K., Poyser, M., Organisciak, D., Willcocks, C. G., Breckon, T. P., &amp; Shum, H. P. (2021). Unmanned aerial vehicle visual detection and tracking using deep neural networks: A performance benchmark. IEEE ICCV Workshops, 1223–1232.</w:t>
      </w:r>
    </w:p>
    <w:p>
      <w:pPr>
        <w:spacing w:before="0" w:after="120"/>
        <w:ind w:left="720" w:hanging="720"/>
        <w:jc w:val="left"/>
      </w:pPr>
      <w:r>
        <w:rPr>
          <w:rFonts w:ascii="Times New Roman" w:hAnsi="Times New Roman"/>
          <w:b w:val="0"/>
          <w:color w:val="000000"/>
          <w:sz w:val="22"/>
        </w:rPr>
        <w:t>Jiang, N., Wang, K., Peng, X., Yu, X., Wang, Q., Xing, J., Li, G., Zhao, J., Guo, G., &amp; Han, Z. (2021). Anti-UAV: A large multi-modal benchmark for UAV tracking. arXiv:2101.08466.</w:t>
      </w:r>
    </w:p>
    <w:p>
      <w:pPr>
        <w:spacing w:before="0" w:after="120"/>
        <w:ind w:left="720" w:hanging="720"/>
        <w:jc w:val="left"/>
      </w:pPr>
      <w:r>
        <w:rPr>
          <w:rFonts w:ascii="Times New Roman" w:hAnsi="Times New Roman"/>
          <w:b w:val="0"/>
          <w:color w:val="000000"/>
          <w:sz w:val="22"/>
        </w:rPr>
        <w:t>Liu, W., Anguelov, D., Erhan, D., Szegedy, C., Reed, S., Fu, C.-Y., &amp; Berg, A. C. (2016). SSD: Single shot multibox detector. ECCV, 21–37.</w:t>
      </w:r>
    </w:p>
    <w:p>
      <w:pPr>
        <w:spacing w:before="0" w:after="120"/>
        <w:ind w:left="720" w:hanging="720"/>
        <w:jc w:val="left"/>
      </w:pPr>
      <w:r>
        <w:rPr>
          <w:rFonts w:ascii="Times New Roman" w:hAnsi="Times New Roman"/>
          <w:b w:val="0"/>
          <w:color w:val="000000"/>
          <w:sz w:val="22"/>
        </w:rPr>
        <w:t>Redmon, J., &amp; Farhadi, A. (2018). YOLOv3: An incremental improvement. arXiv:1804.02767.</w:t>
      </w:r>
    </w:p>
    <w:p>
      <w:pPr>
        <w:spacing w:before="0" w:after="120"/>
        <w:ind w:left="720" w:hanging="720"/>
        <w:jc w:val="left"/>
      </w:pPr>
      <w:r>
        <w:rPr>
          <w:rFonts w:ascii="Times New Roman" w:hAnsi="Times New Roman"/>
          <w:b w:val="0"/>
          <w:color w:val="000000"/>
          <w:sz w:val="22"/>
        </w:rPr>
        <w:t>Ren, S., He, K., Girshick, R., &amp; Sun, J. (2015). Faster R-CNN: Towards real-time object detection with region proposal networks. NeurIPS, 28.</w:t>
      </w:r>
    </w:p>
    <w:p>
      <w:pPr>
        <w:spacing w:before="0" w:after="120"/>
        <w:ind w:left="720" w:hanging="720"/>
        <w:jc w:val="left"/>
      </w:pPr>
      <w:r>
        <w:rPr>
          <w:rFonts w:ascii="Times New Roman" w:hAnsi="Times New Roman"/>
          <w:b w:val="0"/>
          <w:color w:val="000000"/>
          <w:sz w:val="22"/>
        </w:rPr>
        <w:t>Shi, X., Yang, C., Xie, W., Liang, C., Shi, Z., &amp; Chen, J. (2018). Anti-drone system with multiple surveillance technologies: Architecture, implementation, and challenges. IEEE Communications Magazine, 56(4), 68–74.</w:t>
      </w:r>
    </w:p>
    <w:p>
      <w:pPr>
        <w:spacing w:before="0" w:after="120"/>
        <w:ind w:left="720" w:hanging="720"/>
        <w:jc w:val="left"/>
      </w:pPr>
      <w:r>
        <w:rPr>
          <w:rFonts w:ascii="Times New Roman" w:hAnsi="Times New Roman"/>
          <w:b w:val="0"/>
          <w:color w:val="000000"/>
          <w:sz w:val="22"/>
        </w:rPr>
        <w:t>Zhao, J., Zhang, J., Li, D., &amp; Wang, D. (2022). Vision-based anti-UAV detection and tracking. IEEE Transactions on Intelligent Transportation Systems. arXiv:2205.10851.</w:t>
      </w:r>
    </w:p>
    <w:p>
      <w:pPr>
        <w:pStyle w:val="Heading1"/>
      </w:pPr>
      <w:r>
        <w:rPr>
          <w:rFonts w:ascii="Times New Roman" w:hAnsi="Times New Roman"/>
          <w:b/>
          <w:color w:val="000000"/>
          <w:sz w:val="28"/>
        </w:rPr>
        <w:t>2. Pipeline Status</w:t>
      </w:r>
    </w:p>
    <w:p>
      <w:pPr>
        <w:spacing w:after="200"/>
        <w:jc w:val="both"/>
      </w:pPr>
      <w:r>
        <w:rPr>
          <w:b/>
          <w:i w:val="0"/>
        </w:rPr>
        <w:t xml:space="preserve">Repository: </w:t>
      </w:r>
      <w:r>
        <w:rPr>
          <w:b/>
          <w:i w:val="0"/>
          <w:color w:val="B03030"/>
        </w:rPr>
        <w:t>[PASTE YOUR REPOSITORY LINK HERE]</w:t>
      </w:r>
    </w:p>
    <w:p>
      <w:pPr>
        <w:pStyle w:val="Heading2"/>
      </w:pPr>
      <w:r>
        <w:rPr>
          <w:rFonts w:ascii="Times New Roman" w:hAnsi="Times New Roman"/>
          <w:b/>
          <w:color w:val="000000"/>
          <w:sz w:val="24"/>
        </w:rPr>
        <w:t>Split: which, and why</w:t>
      </w:r>
    </w:p>
    <w:p>
      <w:pPr>
        <w:spacing w:after="200"/>
        <w:jc w:val="both"/>
      </w:pPr>
      <w:r>
        <w:rPr>
          <w:b w:val="0"/>
          <w:i w:val="0"/>
        </w:rPr>
        <w:t>I used the dataset's official published train / validation / test split (5,200 / 2,600 / 2,200 images) without modification. This is neither a time-based nor a group-based split: it is a frame-level partition of video sequences, which for the purposes of this project behaves like a random split over frames. I chose it for comparability — published DUT results use this split, so any deviation would make my number incommensurable with the benchmark I am reproducing. The cost of that choice is quantified in the hygiene check below, and it is substantial.</w:t>
      </w:r>
    </w:p>
    <w:p>
      <w:pPr>
        <w:pStyle w:val="Heading2"/>
      </w:pPr>
      <w:r>
        <w:rPr>
          <w:rFonts w:ascii="Times New Roman" w:hAnsi="Times New Roman"/>
          <w:b/>
          <w:color w:val="000000"/>
          <w:sz w:val="24"/>
        </w:rPr>
        <w:t>Baseline and what it took</w:t>
      </w:r>
    </w:p>
    <w:p>
      <w:pPr>
        <w:spacing w:after="200"/>
        <w:jc w:val="both"/>
      </w:pPr>
      <w:r>
        <w:rPr>
          <w:b w:val="0"/>
          <w:i w:val="0"/>
        </w:rPr>
        <w:t>The baseline is YOLO26-nano, fine-tuned from COCO-pretrained weights for 25 epochs at 640×640 input, batch size 8, on an Apple M2 laptop GPU. The random seed is fixed at 0 with deterministic operations enabled, and is printed by the training script and recorded in run_record.txt alongside library versions and all hyperparameters.</w:t>
      </w:r>
    </w:p>
    <w:p>
      <w:pPr>
        <w:spacing w:after="200"/>
        <w:jc w:val="both"/>
      </w:pPr>
      <w:r>
        <w:rPr>
          <w:b w:val="0"/>
          <w:i w:val="0"/>
        </w:rPr>
        <w:t xml:space="preserve">On the held-out test split (2,200 images, 2,245 annotated drones, never used in training or model selection), the model achieves </w:t>
      </w:r>
      <w:r>
        <w:rPr>
          <w:b/>
          <w:i w:val="0"/>
        </w:rPr>
        <w:t>mAP50 = 0.929 and mAP50-95 = 0.596</w:t>
      </w:r>
      <w:r>
        <w:rPr>
          <w:b w:val="0"/>
          <w:i w:val="0"/>
        </w:rPr>
        <w:t>, with precision 0.947 and recall 0.881, at 0.8 ms inference per image. On validation the same model scores mAP50 = 0.877 and mAP50-95 = 0.541. Validation scores lower than test because the 417 added background images sit in validation and not in test, so validation is the harder evaluation of the two.</w:t>
      </w:r>
    </w:p>
    <w:p>
      <w:pPr>
        <w:spacing w:after="200"/>
        <w:jc w:val="both"/>
      </w:pPr>
      <w:r>
        <w:rPr>
          <w:b w:val="0"/>
          <w:i w:val="0"/>
        </w:rPr>
        <w:t>Getting there required three things beyond training. The 10,000 Pascal VOC annotations were converted to YOLO format, which surfaced 32 bounding boxes exceeding the image bounds by exactly one pixel (a VOC indexing convention, clipped rather than discarded), one zero-height annotation (discarded), and three images with no objects (retained as background examples). The converted object counts match the paper's Table I exactly — 5,243 training and 2,245 test instances — which confirms the conversion was lossless. Second, 417 drone-free images were sourced and added. Third, training initially failed on an 8 GB machine: the default batch size and dataloader worker count drove the system into swap, and had to be reduced to batch 8 before any epoch completed. Total training time was approximately three hours.</w:t>
      </w:r>
    </w:p>
    <w:p>
      <w:pPr>
        <w:pStyle w:val="Heading2"/>
      </w:pPr>
      <w:r>
        <w:rPr>
          <w:rFonts w:ascii="Times New Roman" w:hAnsi="Times New Roman"/>
          <w:b/>
          <w:color w:val="000000"/>
          <w:sz w:val="24"/>
        </w:rPr>
        <w:t>What happens next</w:t>
      </w:r>
    </w:p>
    <w:p>
      <w:pPr>
        <w:spacing w:after="200"/>
        <w:jc w:val="both"/>
      </w:pPr>
      <w:r>
        <w:rPr>
          <w:b w:val="0"/>
          <w:i w:val="0"/>
        </w:rPr>
        <w:t>The model had not converged at 25 epochs — every validation curve was still improving and early stopping never triggered — so the reported figure is a lower bound. The next steps are to measure performance as a function of object size, since half the targets are under 32×32 pixels and the gap between mAP50 and mAP50-95 suggests localisation rather than detection is the limiting factor; and to measure a false-alarm rate on background imagery, which is the quantity the literature does not report and which determines whether such a system is deployable.</w:t>
      </w:r>
    </w:p>
    <w:p>
      <w:r>
        <w:br w:type="page"/>
      </w:r>
    </w:p>
    <w:p>
      <w:pPr>
        <w:pStyle w:val="Heading1"/>
      </w:pPr>
      <w:r>
        <w:rPr>
          <w:rFonts w:ascii="Times New Roman" w:hAnsi="Times New Roman"/>
          <w:b/>
          <w:color w:val="000000"/>
          <w:sz w:val="28"/>
        </w:rPr>
        <w:t>3. Evaluation-Hygiene Check</w:t>
      </w:r>
    </w:p>
    <w:p>
      <w:pPr>
        <w:pStyle w:val="Heading2"/>
      </w:pPr>
      <w:r>
        <w:rPr>
          <w:rFonts w:ascii="Times New Roman" w:hAnsi="Times New Roman"/>
          <w:b/>
          <w:color w:val="000000"/>
          <w:sz w:val="24"/>
        </w:rPr>
        <w:t>Could any test information reach training?</w:t>
      </w:r>
    </w:p>
    <w:p>
      <w:pPr>
        <w:spacing w:after="200"/>
        <w:jc w:val="both"/>
      </w:pPr>
      <w:r>
        <w:rPr>
          <w:b w:val="0"/>
          <w:i w:val="0"/>
        </w:rPr>
        <w:t>Yes, substantially. The DUT dataset is constructed from video sequences, and its official split partitions individual frames rather than whole clips, so consecutive frames of the same recording appear on both sides of the split. I audited this with a 64-bit perceptual hash (difference hash) computed over all 10,000 images and compared across splits. 988 test images share an exact hash with a training image, and 1,426 of 2,200 test images — 64.8% — have a near-twin in training at a Hamming distance of 4 bits or fewer. The validation split is worse still at 83.8%. I verified a sample of matched pairs by direct pixel comparison: they differ by between 1.4% and 15.6% of pixels, consistent with adjacent frames of the same shot rather than duplicated files. Only one pair is byte-identical.</w:t>
      </w:r>
    </w:p>
    <w:p>
      <w:pPr>
        <w:spacing w:after="200"/>
        <w:jc w:val="both"/>
      </w:pPr>
      <w:r>
        <w:rPr>
          <w:b w:val="0"/>
          <w:i w:val="0"/>
        </w:rPr>
        <w:t>The consequence is that my test figure, and every published figure on this dataset, is optimistic as a measure of generalisation to unseen scenes. It remains valid for comparison against published results, since all of them inherit the same contamination. I did not re-split the data, because doing so would have broken that comparability; the honest course is to report the number and its limitation together.</w:t>
      </w:r>
    </w:p>
    <w:p>
      <w:pPr>
        <w:pStyle w:val="Heading2"/>
      </w:pPr>
      <w:r>
        <w:rPr>
          <w:rFonts w:ascii="Times New Roman" w:hAnsi="Times New Roman"/>
          <w:b/>
          <w:color w:val="000000"/>
          <w:sz w:val="24"/>
        </w:rPr>
        <w:t>Does the baseline beat a trivial predictor?</w:t>
      </w:r>
    </w:p>
    <w:p>
      <w:pPr>
        <w:spacing w:after="200"/>
        <w:jc w:val="both"/>
      </w:pPr>
      <w:r>
        <w:rPr>
          <w:b w:val="0"/>
          <w:i w:val="0"/>
        </w:rPr>
        <w:t>Yes, overwhelmingly — though the bar is low. Object detection has no majority class, so I implemented three analogues of a trivial predictor and evaluated each on the test split: predicting nothing on every image; predicting a single box at the median location and size of the training annotations on every image; and predicting a single randomly placed and sized box on every image. All three score exactly 0.0000 AP50. The median-box and random-box predictors produce 2,200 false positives each and zero true positives.</w:t>
      </w:r>
    </w:p>
    <w:p>
      <w:pPr>
        <w:spacing w:after="200"/>
        <w:jc w:val="both"/>
      </w:pPr>
      <w:r>
        <w:rPr>
          <w:b w:val="0"/>
          <w:i w:val="0"/>
        </w:rPr>
        <w:t>The reason is the small-object regime: at an IoU threshold of 0.5, a box must overlap the ground truth substantially, and when the target occupies a few dozen pixels in a 1920×1080 frame, chance agreement is effectively impossible. The baseline's 0.929 therefore clears the trivial floor by a wide margin, but that floor is uninformatively weak and should not be read as strong evidence on its own.</w:t>
      </w:r>
    </w:p>
    <w:p>
      <w:pPr>
        <w:pStyle w:val="Heading2"/>
      </w:pPr>
      <w:r>
        <w:rPr>
          <w:rFonts w:ascii="Times New Roman" w:hAnsi="Times New Roman"/>
          <w:b/>
          <w:color w:val="000000"/>
          <w:sz w:val="24"/>
        </w:rPr>
        <w:t>What published number are you reproducing, and how far is your baseline from it?</w:t>
      </w:r>
    </w:p>
    <w:p>
      <w:pPr>
        <w:spacing w:after="200"/>
        <w:jc w:val="both"/>
      </w:pPr>
      <w:r>
        <w:rPr>
          <w:b w:val="0"/>
          <w:i w:val="0"/>
        </w:rPr>
        <w:t>The reference figure is 0.683 mAP, reported by Zhao et al. (2022) in Table II for Cascade R-CNN with a ResNet-50 backbone, the best of the fourteen detector–backbone combinations they evaluate. The comparison is complicated by an ambiguity in the source: the paper reports “mAP” without stating the IoU threshold, and presents precision–recall curves at both IoU 0.5 and IoU 0.75. Both readings are therefore given here.</w:t>
      </w:r>
    </w:p>
    <w:p>
      <w:pPr>
        <w:spacing w:after="200"/>
        <w:jc w:val="both"/>
      </w:pPr>
      <w:r>
        <w:rPr>
          <w:b w:val="0"/>
          <w:i w:val="0"/>
        </w:rPr>
        <w:t>If their figure denotes mAP50, my 0.929 exceeds it by 0.246. If it denotes COCO-style mAP50-95, my 0.596 falls short by 0.087. On either reading my baseline exceeds their fastest model, YOLOX with ResNet-18, at 0.400. I regard the second reading as the more conservative interpretation and do not claim to have beaten the benchmark. The more defensible claim is that a 2.6-million-parameter model running on a laptop reaches the same order of accuracy as two-stage detectors reported four years earlier, at roughly twenty times their inference speed.</w:t>
      </w:r>
    </w:p>
    <w:p>
      <w:r>
        <w:br w:type="page"/>
      </w:r>
    </w:p>
    <w:p>
      <w:pPr>
        <w:pStyle w:val="Heading1"/>
      </w:pPr>
      <w:r>
        <w:rPr>
          <w:rFonts w:ascii="Times New Roman" w:hAnsi="Times New Roman"/>
          <w:b/>
          <w:color w:val="000000"/>
          <w:sz w:val="28"/>
        </w:rPr>
        <w:t>4. AI-Use Statement</w:t>
      </w:r>
    </w:p>
    <w:p>
      <w:pPr>
        <w:spacing w:after="200"/>
        <w:jc w:val="both"/>
      </w:pPr>
      <w:r>
        <w:rPr>
          <w:b w:val="0"/>
          <w:i w:val="0"/>
        </w:rPr>
        <w:t>I used Claude (Anthropic), through Claude Code, on all four parts of this milestone.</w:t>
      </w:r>
    </w:p>
    <w:p>
      <w:pPr>
        <w:spacing w:after="200"/>
        <w:jc w:val="both"/>
      </w:pPr>
      <w:r>
        <w:rPr>
          <w:b w:val="0"/>
          <w:i w:val="0"/>
        </w:rPr>
        <w:t>The assistant wrote the five Python scripts: annotation conversion, verification, background-image injection, training, and evaluation. I wrote the specification they were built to, chose the settings, ran the training, and checked the output. It also found the dataset problems described in Section 2.</w:t>
      </w:r>
    </w:p>
    <w:p>
      <w:pPr>
        <w:spacing w:after="200"/>
        <w:jc w:val="both"/>
      </w:pPr>
      <w:r>
        <w:rPr>
          <w:b w:val="0"/>
          <w:i w:val="0"/>
        </w:rPr>
        <w:t>All three hygiene checks in Section 3 were its idea, not mine — the duplicate audit, the trivial-predictor baselines, and the comparison with the published figure. It ran them and verified the duplicate finding by pixel comparison.</w:t>
      </w:r>
    </w:p>
    <w:p>
      <w:pPr>
        <w:spacing w:after="200"/>
        <w:jc w:val="both"/>
      </w:pPr>
      <w:r>
        <w:rPr>
          <w:b w:val="0"/>
          <w:i w:val="0"/>
        </w:rPr>
        <w:t>For the literature review it gathered the papers, drafted the synthesis, and checked each downloaded PDF against its citation. Two cited papers are paywalled and are described second-hand from the DUT paper. I read the papers I cite and rewrote the draft in my own words.</w:t>
      </w:r>
    </w:p>
    <w:p>
      <w:pPr>
        <w:spacing w:after="200"/>
        <w:jc w:val="both"/>
      </w:pPr>
      <w:r>
        <w:rPr>
          <w:b w:val="0"/>
          <w:i w:val="0"/>
        </w:rPr>
        <w:t>I made the decisions: the dataset, which splits get background images, 25 training epochs, and when to stop. I asked whether scoring the test split early would spoil it, was told it would, and waited until training finished. The test split was scored once.</w:t>
      </w:r>
    </w:p>
    <w:p>
      <w:pPr>
        <w:spacing w:after="200"/>
        <w:jc w:val="both"/>
      </w:pPr>
      <w:r>
        <w:rPr>
          <w:b w:val="0"/>
          <w:i w:val="0"/>
        </w:rPr>
        <w:t>It drafted this statement and I edited it. Every number in this document comes from files the code produced, not from anything the assistant wrote.</w:t>
      </w:r>
    </w:p>
    <w:p>
      <w:r>
        <w:br w:type="page"/>
      </w:r>
    </w:p>
    <w:p>
      <w:r>
        <w:rPr>
          <w:b/>
          <w:color w:val="B03030"/>
          <w:sz w:val="26"/>
        </w:rPr>
        <w:t>BEFORE SUBMITTING — delete this page</w:t>
      </w:r>
    </w:p>
    <w:p>
      <w:pPr>
        <w:pStyle w:val="ListBullet"/>
        <w:spacing w:after="100"/>
        <w:jc w:val="both"/>
      </w:pPr>
      <w:r>
        <w:rPr>
          <w:rFonts w:ascii="Times New Roman" w:hAnsi="Times New Roman"/>
          <w:color w:val="B03030"/>
          <w:sz w:val="22"/>
        </w:rPr>
        <w:t>Paste the repository link in Section 2. Pipeline is worth 15 of 50 points and currently has no link.</w:t>
      </w:r>
    </w:p>
    <w:p>
      <w:pPr>
        <w:pStyle w:val="ListBullet"/>
        <w:spacing w:after="100"/>
        <w:jc w:val="both"/>
      </w:pPr>
      <w:r>
        <w:rPr>
          <w:rFonts w:ascii="Times New Roman" w:hAnsi="Times New Roman"/>
          <w:color w:val="B03030"/>
          <w:sz w:val="22"/>
        </w:rPr>
        <w:t>Rewrite “How the plan changed” against what your proposal actually committed to.</w:t>
      </w:r>
    </w:p>
    <w:p>
      <w:pPr>
        <w:pStyle w:val="ListBullet"/>
        <w:spacing w:after="100"/>
        <w:jc w:val="both"/>
      </w:pPr>
      <w:r>
        <w:rPr>
          <w:rFonts w:ascii="Times New Roman" w:hAnsi="Times New Roman"/>
          <w:color w:val="B03030"/>
          <w:sz w:val="22"/>
        </w:rPr>
        <w:t>Verify Coluccia (2019) and Shi (2018) against the real papers, or cut them — both are paywalled and characterised second-hand.</w:t>
      </w:r>
    </w:p>
    <w:p>
      <w:pPr>
        <w:pStyle w:val="ListBullet"/>
        <w:spacing w:after="100"/>
        <w:jc w:val="both"/>
      </w:pPr>
      <w:r>
        <w:rPr>
          <w:rFonts w:ascii="Times New Roman" w:hAnsi="Times New Roman"/>
          <w:color w:val="B03030"/>
          <w:sz w:val="22"/>
        </w:rPr>
        <w:t>Make “I read the papers I cite and revised the synthesis into my own words” true, or change the sentence.</w:t>
      </w:r>
    </w:p>
    <w:p>
      <w:pPr>
        <w:pStyle w:val="ListBullet"/>
        <w:spacing w:after="100"/>
        <w:jc w:val="both"/>
      </w:pPr>
      <w:r>
        <w:rPr>
          <w:rFonts w:ascii="Times New Roman" w:hAnsi="Times New Roman"/>
          <w:color w:val="B03030"/>
          <w:sz w:val="22"/>
        </w:rPr>
        <w:t>Fill in name, course and date in the title block.</w:t>
      </w:r>
    </w:p>
    <w:p>
      <w:pPr>
        <w:pStyle w:val="ListBullet"/>
        <w:spacing w:after="100"/>
        <w:jc w:val="both"/>
      </w:pPr>
      <w:r>
        <w:rPr>
          <w:rFonts w:ascii="Times New Roman" w:hAnsi="Times New Roman"/>
          <w:color w:val="B03030"/>
          <w:sz w:val="22"/>
        </w:rPr>
        <w:t>Confirm your course policy on naming the model version. This work used Claude Opus 5 via Claude Code.</w:t>
      </w:r>
    </w:p>
    <w:p>
      <w:pPr>
        <w:pStyle w:val="ListBullet"/>
        <w:spacing w:after="100"/>
        <w:jc w:val="both"/>
      </w:pPr>
      <w:r>
        <w:rPr>
          <w:rFonts w:ascii="Times New Roman" w:hAnsi="Times New Roman"/>
          <w:color w:val="B03030"/>
          <w:sz w:val="22"/>
        </w:rPr>
        <w:t>Add anything you did outside these sessions: proposal, dataset selection reasoning, class discussion.</w:t>
      </w:r>
    </w:p>
    <w:p>
      <w:pPr>
        <w:pStyle w:val="ListBullet"/>
        <w:spacing w:after="100"/>
        <w:jc w:val="both"/>
      </w:pPr>
      <w:r>
        <w:rPr>
          <w:rFonts w:ascii="Times New Roman" w:hAnsi="Times New Roman"/>
          <w:color w:val="B03030"/>
          <w:sz w:val="22"/>
        </w:rPr>
        <w:t>Export to PDF: File &gt; Save As &gt; PDF, or File &gt; Export.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