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pPr>
      <w:r>
        <w:rPr>
          <w:rFonts w:ascii="Calibri" w:hAnsi="Calibri"/>
          <w:b/>
          <w:color w:val="9A6700"/>
          <w:sz w:val="20"/>
        </w:rPr>
        <w:t>PLANNING AND REHEARSAL GUIDE</w:t>
      </w:r>
    </w:p>
    <w:p>
      <w:pPr>
        <w:spacing w:before="0" w:after="100"/>
      </w:pPr>
      <w:r>
        <w:rPr>
          <w:rFonts w:ascii="Calibri" w:hAnsi="Calibri"/>
          <w:b/>
          <w:color w:val="17365D"/>
          <w:sz w:val="58"/>
        </w:rPr>
        <w:t>CEI Labs Wargames</w:t>
      </w:r>
    </w:p>
    <w:p>
      <w:pPr>
        <w:spacing w:after="320"/>
      </w:pPr>
      <w:r>
        <w:rPr>
          <w:rFonts w:ascii="Calibri" w:hAnsi="Calibri"/>
          <w:color w:val="667085"/>
          <w:sz w:val="27"/>
        </w:rPr>
        <w:t>CSD and CNO CTF Learning Objectives, Rehearsal Plan, and BC Briefing Framework</w:t>
      </w:r>
    </w:p>
    <w:p>
      <w:pPr>
        <w:spacing w:before="0" w:after="40" w:line="240" w:lineRule="auto"/>
        <w:ind w:left="115"/>
        <w:shd w:fill="F2F4F7"/>
      </w:pPr>
      <w:r>
        <w:rPr>
          <w:rFonts w:ascii="Calibri" w:hAnsi="Calibri"/>
          <w:b/>
          <w:color w:val="2E74B5"/>
          <w:sz w:val="17"/>
        </w:rPr>
        <w:t xml:space="preserve">REHEARSAL  </w:t>
      </w:r>
      <w:r>
        <w:rPr>
          <w:rFonts w:ascii="Calibri" w:hAnsi="Calibri"/>
          <w:b/>
          <w:color w:val="17365D"/>
          <w:sz w:val="21"/>
        </w:rPr>
        <w:t>Thu, 16 Jul 2026</w:t>
      </w:r>
      <w:r>
        <w:rPr>
          <w:rFonts w:ascii="Calibri" w:hAnsi="Calibri"/>
          <w:color w:val="667085"/>
          <w:sz w:val="17"/>
        </w:rPr>
        <w:t xml:space="preserve">  |  1600</w:t>
      </w:r>
    </w:p>
    <w:p>
      <w:pPr>
        <w:spacing w:before="0" w:after="40" w:line="240" w:lineRule="auto"/>
        <w:ind w:left="115"/>
        <w:shd w:fill="F2F4F7"/>
      </w:pPr>
      <w:r>
        <w:rPr>
          <w:rFonts w:ascii="Calibri" w:hAnsi="Calibri"/>
          <w:b/>
          <w:color w:val="2E74B5"/>
          <w:sz w:val="17"/>
        </w:rPr>
        <w:t xml:space="preserve">BC BRIEF  </w:t>
      </w:r>
      <w:r>
        <w:rPr>
          <w:rFonts w:ascii="Calibri" w:hAnsi="Calibri"/>
          <w:b/>
          <w:color w:val="17365D"/>
          <w:sz w:val="21"/>
        </w:rPr>
        <w:t>Thu, 23 Jul 2026</w:t>
      </w:r>
      <w:r>
        <w:rPr>
          <w:rFonts w:ascii="Calibri" w:hAnsi="Calibri"/>
          <w:color w:val="667085"/>
          <w:sz w:val="17"/>
        </w:rPr>
        <w:t xml:space="preserve">  |  Time / location TBD</w:t>
      </w:r>
    </w:p>
    <w:p>
      <w:pPr>
        <w:spacing w:before="0" w:after="40" w:line="240" w:lineRule="auto"/>
        <w:ind w:left="115"/>
        <w:shd w:fill="F2F4F7"/>
      </w:pPr>
      <w:r>
        <w:rPr>
          <w:rFonts w:ascii="Calibri" w:hAnsi="Calibri"/>
          <w:b/>
          <w:color w:val="2E74B5"/>
          <w:sz w:val="17"/>
        </w:rPr>
        <w:t xml:space="preserve">CONTENT  </w:t>
      </w:r>
      <w:r>
        <w:rPr>
          <w:rFonts w:ascii="Calibri" w:hAnsi="Calibri"/>
          <w:b/>
          <w:color w:val="17365D"/>
          <w:sz w:val="21"/>
        </w:rPr>
        <w:t>59 CTFd challenges</w:t>
      </w:r>
      <w:r>
        <w:rPr>
          <w:rFonts w:ascii="Calibri" w:hAnsi="Calibri"/>
          <w:color w:val="667085"/>
          <w:sz w:val="17"/>
        </w:rPr>
        <w:t xml:space="preserve">  |  56 instructional levels</w:t>
      </w:r>
    </w:p>
    <w:p>
      <w:pPr>
        <w:pStyle w:val="Heading1"/>
        <w:keepNext/>
      </w:pPr>
      <w:r>
        <w:t>Purpose</w:t>
      </w:r>
    </w:p>
    <w:p>
      <w:pPr>
        <w:spacing w:after="120" w:line="264" w:lineRule="auto"/>
      </w:pPr>
      <w:r>
        <w:rPr>
          <w:rFonts w:ascii="Calibri" w:hAnsi="Calibri"/>
          <w:i w:val="0"/>
          <w:color w:val="202124"/>
          <w:sz w:val="22"/>
        </w:rPr>
        <w:t>Provide a single, briefing-ready guide for rehearsing and explaining the existing CEI Labs Wargames content. The document keeps the focus on what participants learn, how the two event lanes differ, what must be demonstrated during rehearsal, and what support or decisions should be raised to the Battalion Commander.</w:t>
      </w:r>
    </w:p>
    <w:p>
      <w:pPr>
        <w:spacing w:before="100" w:after="180" w:line="264" w:lineRule="auto"/>
        <w:ind w:left="259" w:right="173"/>
        <w:shd w:fill="F3F7FB"/>
        <w:pBdr>
          <w:left w:val="single" w:sz="18" w:space="8" w:color="2E74B5"/>
        </w:pBdr>
      </w:pPr>
      <w:r>
        <w:rPr>
          <w:rFonts w:ascii="Calibri" w:hAnsi="Calibri"/>
          <w:b/>
          <w:color w:val="17365D"/>
          <w:sz w:val="22"/>
        </w:rPr>
        <w:t xml:space="preserve">Briefing emphasis: </w:t>
      </w:r>
      <w:r>
        <w:rPr>
          <w:rFonts w:ascii="Calibri" w:hAnsi="Calibri"/>
          <w:color w:val="202124"/>
          <w:sz w:val="22"/>
        </w:rPr>
        <w:t>Lead with learning outcomes and operational value. Challenge mechanics, point values, and platform details should support the story, not become the story.</w:t>
      </w:r>
    </w:p>
    <w:p>
      <w:pPr>
        <w:pStyle w:val="Heading2"/>
        <w:keepNext/>
      </w:pPr>
      <w:r>
        <w:t>Commander's-intent translation</w:t>
      </w:r>
    </w:p>
    <w:p>
      <w:pPr>
        <w:numPr>
          <w:ilvl w:val="0"/>
          <w:numId w:val="10"/>
        </w:numPr>
        <w:spacing w:after="120" w:line="264" w:lineRule="auto"/>
      </w:pPr>
      <w:r>
        <w:rPr>
          <w:rFonts w:ascii="Calibri" w:hAnsi="Calibri"/>
          <w:color w:val="202124"/>
          <w:sz w:val="22"/>
        </w:rPr>
        <w:t>Conduct a rehearsal on Thursday, 16 July 2026 at 1600.</w:t>
      </w:r>
    </w:p>
    <w:p>
      <w:pPr>
        <w:numPr>
          <w:ilvl w:val="0"/>
          <w:numId w:val="10"/>
        </w:numPr>
        <w:spacing w:after="120" w:line="264" w:lineRule="auto"/>
      </w:pPr>
      <w:r>
        <w:rPr>
          <w:rFonts w:ascii="Calibri" w:hAnsi="Calibri"/>
          <w:color w:val="202124"/>
          <w:sz w:val="22"/>
        </w:rPr>
        <w:t>Prepare the event leads to brief the Battalion Commander on 23 July 2026.</w:t>
      </w:r>
    </w:p>
    <w:p>
      <w:pPr>
        <w:numPr>
          <w:ilvl w:val="0"/>
          <w:numId w:val="10"/>
        </w:numPr>
        <w:spacing w:after="120" w:line="264" w:lineRule="auto"/>
      </w:pPr>
      <w:r>
        <w:rPr>
          <w:rFonts w:ascii="Calibri" w:hAnsi="Calibri"/>
          <w:color w:val="202124"/>
          <w:sz w:val="22"/>
        </w:rPr>
        <w:t>Use SGT Tadios or SSG Kinsey / designated representative for the CSD CTF explanation.</w:t>
      </w:r>
    </w:p>
    <w:p>
      <w:pPr>
        <w:numPr>
          <w:ilvl w:val="0"/>
          <w:numId w:val="10"/>
        </w:numPr>
        <w:spacing w:after="120" w:line="264" w:lineRule="auto"/>
      </w:pPr>
      <w:r>
        <w:rPr>
          <w:rFonts w:ascii="Calibri" w:hAnsi="Calibri"/>
          <w:color w:val="202124"/>
          <w:sz w:val="22"/>
        </w:rPr>
        <w:t>Use SGT Peralta or SPC Land for the CNO CTF explanation.</w:t>
      </w:r>
    </w:p>
    <w:p>
      <w:pPr>
        <w:numPr>
          <w:ilvl w:val="0"/>
          <w:numId w:val="10"/>
        </w:numPr>
        <w:spacing w:after="120" w:line="264" w:lineRule="auto"/>
      </w:pPr>
      <w:r>
        <w:rPr>
          <w:rFonts w:ascii="Calibri" w:hAnsi="Calibri"/>
          <w:color w:val="202124"/>
          <w:sz w:val="22"/>
        </w:rPr>
        <w:t>Coordinate planning issues through SGT Tadios; schedule locations, complete DRAWs when required, and submit equipment requests before the rehearsal.</w:t>
      </w:r>
    </w:p>
    <w:p>
      <w:r>
        <w:br w:type="page"/>
      </w:r>
    </w:p>
    <w:p>
      <w:pPr>
        <w:pStyle w:val="Heading1"/>
        <w:keepNext/>
      </w:pPr>
      <w:r>
        <w:t>1. Planning assumptions and content alignment</w:t>
      </w:r>
    </w:p>
    <w:p>
      <w:pPr>
        <w:spacing w:before="100" w:after="180" w:line="264" w:lineRule="auto"/>
        <w:ind w:left="259" w:right="173"/>
        <w:shd w:fill="FFF8E8"/>
        <w:pBdr>
          <w:left w:val="single" w:sz="18" w:space="8" w:color="9A6700"/>
        </w:pBdr>
      </w:pPr>
      <w:r>
        <w:rPr>
          <w:rFonts w:ascii="Calibri" w:hAnsi="Calibri"/>
          <w:b/>
          <w:color w:val="17365D"/>
          <w:sz w:val="22"/>
        </w:rPr>
        <w:t xml:space="preserve">Confirmation required: </w:t>
      </w:r>
      <w:r>
        <w:rPr>
          <w:rFonts w:ascii="Calibri" w:hAnsi="Calibri"/>
          <w:color w:val="202124"/>
          <w:sz w:val="22"/>
        </w:rPr>
        <w:t>This guide proposes Bandit plus Krypton as the CSD CTF and Natas as the CNO CTF. Confirm that alignment with SGT Tadios before the rehearsal; revise presenter assignments if the unit uses different event names or scope.</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440"/>
        <w:gridCol w:w="1500"/>
        <w:gridCol w:w="4920"/>
        <w:gridCol w:w="1500"/>
      </w:tblGrid>
      <w:tr>
        <w:trPr>
          <w:tblHeader w:val="true"/>
        </w:trPr>
        <w:tc>
          <w:tcPr>
            <w:tcW w:type="dxa" w:w="1440"/>
            <w:tcMar>
              <w:top w:w="100" w:type="dxa"/>
              <w:start w:w="120" w:type="dxa"/>
              <w:bottom w:w="100" w:type="dxa"/>
              <w:end w:w="120" w:type="dxa"/>
            </w:tcMar>
            <w:vAlign w:val="center"/>
            <w:shd w:fill="E8EEF5"/>
          </w:tcPr>
          <w:p>
            <w:pPr>
              <w:spacing w:before="0" w:after="0" w:line="252" w:lineRule="auto"/>
              <w:jc w:val="left"/>
            </w:pPr>
            <w:r>
              <w:rPr>
                <w:rFonts w:ascii="Calibri" w:hAnsi="Calibri"/>
                <w:b/>
                <w:color w:val="17365D"/>
                <w:sz w:val="18"/>
              </w:rPr>
              <w:t>Event lane</w:t>
            </w:r>
          </w:p>
        </w:tc>
        <w:tc>
          <w:tcPr>
            <w:tcW w:type="dxa" w:w="1500"/>
            <w:tcMar>
              <w:top w:w="100" w:type="dxa"/>
              <w:start w:w="120" w:type="dxa"/>
              <w:bottom w:w="100" w:type="dxa"/>
              <w:end w:w="120" w:type="dxa"/>
            </w:tcMar>
            <w:vAlign w:val="center"/>
            <w:shd w:fill="E8EEF5"/>
          </w:tcPr>
          <w:p>
            <w:pPr>
              <w:spacing w:before="0" w:after="0" w:line="252" w:lineRule="auto"/>
              <w:jc w:val="left"/>
            </w:pPr>
            <w:r>
              <w:rPr>
                <w:rFonts w:ascii="Calibri" w:hAnsi="Calibri"/>
                <w:b/>
                <w:color w:val="17365D"/>
                <w:sz w:val="18"/>
              </w:rPr>
              <w:t>Existing track(s)</w:t>
            </w:r>
          </w:p>
        </w:tc>
        <w:tc>
          <w:tcPr>
            <w:tcW w:type="dxa" w:w="4920"/>
            <w:tcMar>
              <w:top w:w="100" w:type="dxa"/>
              <w:start w:w="120" w:type="dxa"/>
              <w:bottom w:w="100" w:type="dxa"/>
              <w:end w:w="120" w:type="dxa"/>
            </w:tcMar>
            <w:vAlign w:val="center"/>
            <w:shd w:fill="E8EEF5"/>
          </w:tcPr>
          <w:p>
            <w:pPr>
              <w:spacing w:before="0" w:after="0" w:line="252" w:lineRule="auto"/>
              <w:jc w:val="left"/>
            </w:pPr>
            <w:r>
              <w:rPr>
                <w:rFonts w:ascii="Calibri" w:hAnsi="Calibri"/>
                <w:b/>
                <w:color w:val="17365D"/>
                <w:sz w:val="18"/>
              </w:rPr>
              <w:t>Primary learning focus</w:t>
            </w:r>
          </w:p>
        </w:tc>
        <w:tc>
          <w:tcPr>
            <w:tcW w:type="dxa" w:w="1500"/>
            <w:tcMar>
              <w:top w:w="100" w:type="dxa"/>
              <w:start w:w="120" w:type="dxa"/>
              <w:bottom w:w="100" w:type="dxa"/>
              <w:end w:w="120" w:type="dxa"/>
            </w:tcMar>
            <w:vAlign w:val="center"/>
            <w:shd w:fill="E8EEF5"/>
          </w:tcPr>
          <w:p>
            <w:pPr>
              <w:spacing w:before="0" w:after="0" w:line="252" w:lineRule="auto"/>
              <w:jc w:val="left"/>
            </w:pPr>
            <w:r>
              <w:rPr>
                <w:rFonts w:ascii="Calibri" w:hAnsi="Calibri"/>
                <w:b/>
                <w:color w:val="17365D"/>
                <w:sz w:val="18"/>
              </w:rPr>
              <w:t>Content size</w:t>
            </w:r>
          </w:p>
        </w:tc>
      </w:tr>
      <w:tr>
        <w:tc>
          <w:tcPr>
            <w:tcW w:type="dxa" w:w="1440"/>
          </w:tcPr>
          <w:p>
            <w:pPr>
              <w:spacing w:before="0" w:after="0" w:line="252" w:lineRule="auto"/>
              <w:jc w:val="left"/>
            </w:pPr>
            <w:r>
              <w:rPr>
                <w:rFonts w:ascii="Calibri" w:hAnsi="Calibri"/>
                <w:b w:val="0"/>
                <w:color w:val="202124"/>
                <w:sz w:val="18"/>
              </w:rPr>
              <w:t>CSD CTF</w:t>
            </w:r>
          </w:p>
        </w:tc>
        <w:tc>
          <w:tcPr>
            <w:tcW w:type="dxa" w:w="1500"/>
          </w:tcPr>
          <w:p>
            <w:pPr>
              <w:spacing w:before="0" w:after="0" w:line="252" w:lineRule="auto"/>
              <w:jc w:val="left"/>
            </w:pPr>
            <w:r>
              <w:rPr>
                <w:rFonts w:ascii="Calibri" w:hAnsi="Calibri"/>
                <w:b w:val="0"/>
                <w:color w:val="202124"/>
                <w:sz w:val="18"/>
              </w:rPr>
              <w:t>Bandit + Krypton</w:t>
            </w:r>
          </w:p>
        </w:tc>
        <w:tc>
          <w:tcPr>
            <w:tcW w:type="dxa" w:w="4920"/>
          </w:tcPr>
          <w:p>
            <w:pPr>
              <w:spacing w:before="0" w:after="0" w:line="252" w:lineRule="auto"/>
              <w:jc w:val="left"/>
            </w:pPr>
            <w:r>
              <w:rPr>
                <w:rFonts w:ascii="Calibri" w:hAnsi="Calibri"/>
                <w:b w:val="0"/>
                <w:color w:val="202124"/>
                <w:sz w:val="18"/>
              </w:rPr>
              <w:t>Linux operations, secure access, data handling, privilege boundaries, automation, Git, and classical cryptanalysis</w:t>
            </w:r>
          </w:p>
        </w:tc>
        <w:tc>
          <w:tcPr>
            <w:tcW w:type="dxa" w:w="1500"/>
          </w:tcPr>
          <w:p>
            <w:pPr>
              <w:spacing w:before="0" w:after="0" w:line="252" w:lineRule="auto"/>
              <w:jc w:val="left"/>
            </w:pPr>
            <w:r>
              <w:rPr>
                <w:rFonts w:ascii="Calibri" w:hAnsi="Calibri"/>
                <w:b w:val="0"/>
                <w:color w:val="202124"/>
                <w:sz w:val="18"/>
              </w:rPr>
              <w:t>43 challenges / 41 instructional levels</w:t>
            </w:r>
          </w:p>
        </w:tc>
      </w:tr>
      <w:tr>
        <w:tc>
          <w:tcPr>
            <w:tcW w:type="dxa" w:w="1440"/>
            <w:shd w:fill="FAFBFC"/>
          </w:tcPr>
          <w:p>
            <w:pPr>
              <w:spacing w:before="0" w:after="0" w:line="252" w:lineRule="auto"/>
              <w:jc w:val="left"/>
            </w:pPr>
            <w:r>
              <w:rPr>
                <w:rFonts w:ascii="Calibri" w:hAnsi="Calibri"/>
                <w:b w:val="0"/>
                <w:color w:val="202124"/>
                <w:sz w:val="18"/>
              </w:rPr>
              <w:t>CNO CTF</w:t>
            </w:r>
          </w:p>
        </w:tc>
        <w:tc>
          <w:tcPr>
            <w:tcW w:type="dxa" w:w="1500"/>
            <w:shd w:fill="FAFBFC"/>
          </w:tcPr>
          <w:p>
            <w:pPr>
              <w:spacing w:before="0" w:after="0" w:line="252" w:lineRule="auto"/>
              <w:jc w:val="left"/>
            </w:pPr>
            <w:r>
              <w:rPr>
                <w:rFonts w:ascii="Calibri" w:hAnsi="Calibri"/>
                <w:b w:val="0"/>
                <w:color w:val="202124"/>
                <w:sz w:val="18"/>
              </w:rPr>
              <w:t>Natas</w:t>
            </w:r>
          </w:p>
        </w:tc>
        <w:tc>
          <w:tcPr>
            <w:tcW w:type="dxa" w:w="4920"/>
            <w:shd w:fill="FAFBFC"/>
          </w:tcPr>
          <w:p>
            <w:pPr>
              <w:spacing w:before="0" w:after="0" w:line="252" w:lineRule="auto"/>
              <w:jc w:val="left"/>
            </w:pPr>
            <w:r>
              <w:rPr>
                <w:rFonts w:ascii="Calibri" w:hAnsi="Calibri"/>
                <w:b w:val="0"/>
                <w:color w:val="202124"/>
                <w:sz w:val="18"/>
              </w:rPr>
              <w:t>Web trust boundaries, HTTP manipulation, source analysis, injection, file upload, and SQL injection</w:t>
            </w:r>
          </w:p>
        </w:tc>
        <w:tc>
          <w:tcPr>
            <w:tcW w:type="dxa" w:w="1500"/>
            <w:shd w:fill="FAFBFC"/>
          </w:tcPr>
          <w:p>
            <w:pPr>
              <w:spacing w:before="0" w:after="0" w:line="252" w:lineRule="auto"/>
              <w:jc w:val="left"/>
            </w:pPr>
            <w:r>
              <w:rPr>
                <w:rFonts w:ascii="Calibri" w:hAnsi="Calibri"/>
                <w:b w:val="0"/>
                <w:color w:val="202124"/>
                <w:sz w:val="18"/>
              </w:rPr>
              <w:t>16 challenges / 15 instructional levels</w:t>
            </w:r>
          </w:p>
        </w:tc>
      </w:tr>
    </w:tbl>
    <w:p>
      <w:pPr>
        <w:spacing w:after="20"/>
      </w:pPr>
    </w:p>
    <w:p>
      <w:pPr>
        <w:pStyle w:val="Heading2"/>
        <w:keepNext/>
      </w:pPr>
      <w:r>
        <w:t>Shared learning model</w:t>
      </w:r>
    </w:p>
    <w:p>
      <w:pPr>
        <w:numPr>
          <w:ilvl w:val="0"/>
          <w:numId w:val="10"/>
        </w:numPr>
        <w:spacing w:after="120" w:line="264" w:lineRule="auto"/>
      </w:pPr>
      <w:r>
        <w:rPr>
          <w:rFonts w:ascii="Calibri" w:hAnsi="Calibri"/>
          <w:color w:val="202124"/>
          <w:sz w:val="22"/>
        </w:rPr>
        <w:t>Progressive practice: each track moves from approachable orientation tasks toward multi-step exploitation or analysis.</w:t>
      </w:r>
    </w:p>
    <w:p>
      <w:pPr>
        <w:numPr>
          <w:ilvl w:val="0"/>
          <w:numId w:val="10"/>
        </w:numPr>
        <w:spacing w:after="120" w:line="264" w:lineRule="auto"/>
      </w:pPr>
      <w:r>
        <w:rPr>
          <w:rFonts w:ascii="Calibri" w:hAnsi="Calibri"/>
          <w:color w:val="202124"/>
          <w:sz w:val="22"/>
        </w:rPr>
        <w:t>Methodical enumeration: participants learn to define and exhaust a search space rather than guess.</w:t>
      </w:r>
    </w:p>
    <w:p>
      <w:pPr>
        <w:numPr>
          <w:ilvl w:val="0"/>
          <w:numId w:val="10"/>
        </w:numPr>
        <w:spacing w:after="120" w:line="264" w:lineRule="auto"/>
      </w:pPr>
      <w:r>
        <w:rPr>
          <w:rFonts w:ascii="Calibri" w:hAnsi="Calibri"/>
          <w:color w:val="202124"/>
          <w:sz w:val="22"/>
        </w:rPr>
        <w:t>Documentation use: participants must extract the relevant option or behavior from unfamiliar tool references under time pressure.</w:t>
      </w:r>
    </w:p>
    <w:p>
      <w:pPr>
        <w:numPr>
          <w:ilvl w:val="0"/>
          <w:numId w:val="10"/>
        </w:numPr>
        <w:spacing w:after="120" w:line="264" w:lineRule="auto"/>
      </w:pPr>
      <w:r>
        <w:rPr>
          <w:rFonts w:ascii="Calibri" w:hAnsi="Calibri"/>
          <w:color w:val="202124"/>
          <w:sz w:val="22"/>
        </w:rPr>
        <w:t>Source-informed action: shell scripts, PHP, cron configuration, HTML, and protocol behavior are read before an action is selected.</w:t>
      </w:r>
    </w:p>
    <w:p>
      <w:pPr>
        <w:numPr>
          <w:ilvl w:val="0"/>
          <w:numId w:val="10"/>
        </w:numPr>
        <w:spacing w:after="120" w:line="264" w:lineRule="auto"/>
      </w:pPr>
      <w:r>
        <w:rPr>
          <w:rFonts w:ascii="Calibri" w:hAnsi="Calibri"/>
          <w:color w:val="202124"/>
          <w:sz w:val="22"/>
        </w:rPr>
        <w:t>Assisted learning: free command and reading pointers are followed by three costed hint tiers, allowing facilitators to distinguish a knowledge gap from a syntax recall gap.</w:t>
      </w:r>
    </w:p>
    <w:p>
      <w:pPr>
        <w:pStyle w:val="Heading2"/>
        <w:keepNext/>
      </w:pPr>
      <w:r>
        <w:t>What the platform currently contains</w:t>
      </w:r>
    </w:p>
    <w:p>
      <w:pPr>
        <w:spacing w:after="120" w:line="264" w:lineRule="auto"/>
      </w:pPr>
      <w:r>
        <w:rPr>
          <w:rFonts w:ascii="Calibri" w:hAnsi="Calibri"/>
          <w:i w:val="0"/>
          <w:color w:val="202124"/>
          <w:sz w:val="22"/>
        </w:rPr>
        <w:t>The generated catalog contains 59 CTFd challenges: 35 Bandit, 8 Krypton, and 16 Natas. Three are Start Here onboarding challenges, leaving 56 instructional levels: 34 Bandit, 7 Krypton, and 15 Natas. Bandit and Krypton use persistent SSH targets; Natas uses a separate attacker workstation and an isolated web target.</w:t>
      </w:r>
    </w:p>
    <w:p>
      <w:pPr>
        <w:pStyle w:val="Heading2"/>
        <w:keepNext/>
      </w:pPr>
      <w:r>
        <w:t>Rehearsal decision points</w:t>
      </w:r>
    </w:p>
    <w:p>
      <w:pPr>
        <w:numPr>
          <w:ilvl w:val="0"/>
          <w:numId w:val="11"/>
        </w:numPr>
        <w:spacing w:after="120" w:line="264" w:lineRule="auto"/>
      </w:pPr>
      <w:r>
        <w:rPr>
          <w:rFonts w:ascii="Calibri" w:hAnsi="Calibri"/>
          <w:color w:val="202124"/>
          <w:sz w:val="22"/>
        </w:rPr>
        <w:t>Confirm the CSD/CNO track alignment and which presenter owns each lane.</w:t>
      </w:r>
    </w:p>
    <w:p>
      <w:pPr>
        <w:numPr>
          <w:ilvl w:val="0"/>
          <w:numId w:val="11"/>
        </w:numPr>
        <w:spacing w:after="120" w:line="264" w:lineRule="auto"/>
      </w:pPr>
      <w:r>
        <w:rPr>
          <w:rFonts w:ascii="Calibri" w:hAnsi="Calibri"/>
          <w:color w:val="202124"/>
          <w:sz w:val="22"/>
        </w:rPr>
        <w:t>Select one representative beginner, intermediate, and advanced objective for each lane.</w:t>
      </w:r>
    </w:p>
    <w:p>
      <w:pPr>
        <w:numPr>
          <w:ilvl w:val="0"/>
          <w:numId w:val="11"/>
        </w:numPr>
        <w:spacing w:after="120" w:line="264" w:lineRule="auto"/>
      </w:pPr>
      <w:r>
        <w:rPr>
          <w:rFonts w:ascii="Calibri" w:hAnsi="Calibri"/>
          <w:color w:val="202124"/>
          <w:sz w:val="22"/>
        </w:rPr>
        <w:t>Confirm whether the BC briefing is a live demonstration, a narrated walkthrough, or both.</w:t>
      </w:r>
    </w:p>
    <w:p>
      <w:pPr>
        <w:numPr>
          <w:ilvl w:val="0"/>
          <w:numId w:val="11"/>
        </w:numPr>
        <w:spacing w:after="120" w:line="264" w:lineRule="auto"/>
      </w:pPr>
      <w:r>
        <w:rPr>
          <w:rFonts w:ascii="Calibri" w:hAnsi="Calibri"/>
          <w:color w:val="202124"/>
          <w:sz w:val="22"/>
        </w:rPr>
        <w:t>Confirm the expected audience size, event duration, venue, network, and equipment support.</w:t>
      </w:r>
    </w:p>
    <w:p>
      <w:r>
        <w:br w:type="page"/>
      </w:r>
    </w:p>
    <w:p>
      <w:pPr>
        <w:pStyle w:val="Heading1"/>
        <w:keepNext/>
      </w:pPr>
      <w:r>
        <w:t>2. CSD CTF learning objectives</w:t>
      </w:r>
    </w:p>
    <w:p>
      <w:pPr>
        <w:spacing w:after="120" w:line="264" w:lineRule="auto"/>
      </w:pPr>
      <w:r>
        <w:rPr>
          <w:rFonts w:ascii="Calibri" w:hAnsi="Calibri"/>
          <w:i w:val="0"/>
          <w:color w:val="202124"/>
          <w:sz w:val="22"/>
        </w:rPr>
        <w:t>Proposed scope: Bandit and Krypton. The lane develops practical command-line confidence first, then reinforces analytical thinking through data transformation and cryptanalysis.</w:t>
      </w:r>
    </w:p>
    <w:p>
      <w:pPr>
        <w:pStyle w:val="Heading2"/>
        <w:keepNext/>
      </w:pPr>
      <w:r>
        <w:t>Linux discovery and navigation</w:t>
      </w:r>
    </w:p>
    <w:p>
      <w:pPr>
        <w:spacing w:after="120" w:line="264" w:lineRule="auto"/>
      </w:pPr>
      <w:r>
        <w:rPr>
          <w:rFonts w:ascii="Calibri" w:hAnsi="Calibri"/>
          <w:i/>
          <w:color w:val="202124"/>
          <w:sz w:val="22"/>
        </w:rPr>
        <w:t>Content anchor: Bandit 0-6.</w:t>
      </w:r>
    </w:p>
    <w:p>
      <w:pPr>
        <w:numPr>
          <w:ilvl w:val="0"/>
          <w:numId w:val="10"/>
        </w:numPr>
        <w:spacing w:after="120" w:line="264" w:lineRule="auto"/>
      </w:pPr>
      <w:r>
        <w:rPr>
          <w:rFonts w:ascii="Calibri" w:hAnsi="Calibri"/>
          <w:color w:val="202124"/>
          <w:sz w:val="22"/>
        </w:rPr>
        <w:t>Establish an SSH session and operate confidently in a Linux shell.</w:t>
      </w:r>
    </w:p>
    <w:p>
      <w:pPr>
        <w:numPr>
          <w:ilvl w:val="0"/>
          <w:numId w:val="10"/>
        </w:numPr>
        <w:spacing w:after="120" w:line="264" w:lineRule="auto"/>
      </w:pPr>
      <w:r>
        <w:rPr>
          <w:rFonts w:ascii="Calibri" w:hAnsi="Calibri"/>
          <w:color w:val="202124"/>
          <w:sz w:val="22"/>
        </w:rPr>
        <w:t>Handle adversarial filenames, spaces, hidden files, and misleading extensions.</w:t>
      </w:r>
    </w:p>
    <w:p>
      <w:pPr>
        <w:numPr>
          <w:ilvl w:val="0"/>
          <w:numId w:val="10"/>
        </w:numPr>
        <w:spacing w:after="120" w:line="264" w:lineRule="auto"/>
      </w:pPr>
      <w:r>
        <w:rPr>
          <w:rFonts w:ascii="Calibri" w:hAnsi="Calibri"/>
          <w:color w:val="202124"/>
          <w:sz w:val="22"/>
        </w:rPr>
        <w:t>Use file type, permissions, ownership, size, and path constraints to isolate the correct artifact.</w:t>
      </w:r>
    </w:p>
    <w:p>
      <w:pPr>
        <w:pStyle w:val="Heading2"/>
        <w:keepNext/>
      </w:pPr>
      <w:r>
        <w:t>Text processing and layered data recovery</w:t>
      </w:r>
    </w:p>
    <w:p>
      <w:pPr>
        <w:spacing w:after="120" w:line="264" w:lineRule="auto"/>
      </w:pPr>
      <w:r>
        <w:rPr>
          <w:rFonts w:ascii="Calibri" w:hAnsi="Calibri"/>
          <w:i/>
          <w:color w:val="202124"/>
          <w:sz w:val="22"/>
        </w:rPr>
        <w:t>Content anchor: Bandit 7-12.</w:t>
      </w:r>
    </w:p>
    <w:p>
      <w:pPr>
        <w:numPr>
          <w:ilvl w:val="0"/>
          <w:numId w:val="10"/>
        </w:numPr>
        <w:spacing w:after="120" w:line="264" w:lineRule="auto"/>
      </w:pPr>
      <w:r>
        <w:rPr>
          <w:rFonts w:ascii="Calibri" w:hAnsi="Calibri"/>
          <w:color w:val="202124"/>
          <w:sz w:val="22"/>
        </w:rPr>
        <w:t>Use grep, sort, uniq, strings, Base64, ROT13, and file inspection to extract information.</w:t>
      </w:r>
    </w:p>
    <w:p>
      <w:pPr>
        <w:numPr>
          <w:ilvl w:val="0"/>
          <w:numId w:val="10"/>
        </w:numPr>
        <w:spacing w:after="120" w:line="264" w:lineRule="auto"/>
      </w:pPr>
      <w:r>
        <w:rPr>
          <w:rFonts w:ascii="Calibri" w:hAnsi="Calibri"/>
          <w:color w:val="202124"/>
          <w:sz w:val="22"/>
        </w:rPr>
        <w:t>Reverse a hexdump and iteratively unpack mixed compression formats without assuming the next layer.</w:t>
      </w:r>
    </w:p>
    <w:p>
      <w:pPr>
        <w:pStyle w:val="Heading2"/>
        <w:keepNext/>
      </w:pPr>
      <w:r>
        <w:t>Secure access and network services</w:t>
      </w:r>
    </w:p>
    <w:p>
      <w:pPr>
        <w:spacing w:after="120" w:line="264" w:lineRule="auto"/>
      </w:pPr>
      <w:r>
        <w:rPr>
          <w:rFonts w:ascii="Calibri" w:hAnsi="Calibri"/>
          <w:i/>
          <w:color w:val="202124"/>
          <w:sz w:val="22"/>
        </w:rPr>
        <w:t>Content anchor: Bandit 13-17.</w:t>
      </w:r>
    </w:p>
    <w:p>
      <w:pPr>
        <w:numPr>
          <w:ilvl w:val="0"/>
          <w:numId w:val="10"/>
        </w:numPr>
        <w:spacing w:after="120" w:line="264" w:lineRule="auto"/>
      </w:pPr>
      <w:r>
        <w:rPr>
          <w:rFonts w:ascii="Calibri" w:hAnsi="Calibri"/>
          <w:color w:val="202124"/>
          <w:sz w:val="22"/>
        </w:rPr>
        <w:t>Use private-key authentication and enforce key-file permissions.</w:t>
      </w:r>
    </w:p>
    <w:p>
      <w:pPr>
        <w:numPr>
          <w:ilvl w:val="0"/>
          <w:numId w:val="10"/>
        </w:numPr>
        <w:spacing w:after="120" w:line="264" w:lineRule="auto"/>
      </w:pPr>
      <w:r>
        <w:rPr>
          <w:rFonts w:ascii="Calibri" w:hAnsi="Calibri"/>
          <w:color w:val="202124"/>
          <w:sz w:val="22"/>
        </w:rPr>
        <w:t>Interact with raw TCP and TLS services using netcat and OpenSSL.</w:t>
      </w:r>
    </w:p>
    <w:p>
      <w:pPr>
        <w:numPr>
          <w:ilvl w:val="0"/>
          <w:numId w:val="10"/>
        </w:numPr>
        <w:spacing w:after="120" w:line="264" w:lineRule="auto"/>
      </w:pPr>
      <w:r>
        <w:rPr>
          <w:rFonts w:ascii="Calibri" w:hAnsi="Calibri"/>
          <w:color w:val="202124"/>
          <w:sz w:val="22"/>
        </w:rPr>
        <w:t>Enumerate a port range with nmap and compare near-identical files with diff.</w:t>
      </w:r>
    </w:p>
    <w:p>
      <w:pPr>
        <w:pStyle w:val="Heading2"/>
        <w:keepNext/>
      </w:pPr>
      <w:r>
        <w:t>Privilege, automation, and restricted execution</w:t>
      </w:r>
    </w:p>
    <w:p>
      <w:pPr>
        <w:spacing w:after="120" w:line="264" w:lineRule="auto"/>
      </w:pPr>
      <w:r>
        <w:rPr>
          <w:rFonts w:ascii="Calibri" w:hAnsi="Calibri"/>
          <w:i/>
          <w:color w:val="202124"/>
          <w:sz w:val="22"/>
        </w:rPr>
        <w:t>Content anchor: Bandit 18-26 and 32-33.</w:t>
      </w:r>
    </w:p>
    <w:p>
      <w:pPr>
        <w:numPr>
          <w:ilvl w:val="0"/>
          <w:numId w:val="10"/>
        </w:numPr>
        <w:spacing w:after="120" w:line="264" w:lineRule="auto"/>
      </w:pPr>
      <w:r>
        <w:rPr>
          <w:rFonts w:ascii="Calibri" w:hAnsi="Calibri"/>
          <w:color w:val="202124"/>
          <w:sz w:val="22"/>
        </w:rPr>
        <w:t>Reason about non-interactive shells, setuid execution, listeners, and reverse connections.</w:t>
      </w:r>
    </w:p>
    <w:p>
      <w:pPr>
        <w:numPr>
          <w:ilvl w:val="0"/>
          <w:numId w:val="10"/>
        </w:numPr>
        <w:spacing w:after="120" w:line="264" w:lineRule="auto"/>
      </w:pPr>
      <w:r>
        <w:rPr>
          <w:rFonts w:ascii="Calibri" w:hAnsi="Calibri"/>
          <w:color w:val="202124"/>
          <w:sz w:val="22"/>
        </w:rPr>
        <w:t>Trace cron configuration to scripts and identify unsafe execution of attacker-controlled input.</w:t>
      </w:r>
    </w:p>
    <w:p>
      <w:pPr>
        <w:numPr>
          <w:ilvl w:val="0"/>
          <w:numId w:val="10"/>
        </w:numPr>
        <w:spacing w:after="120" w:line="264" w:lineRule="auto"/>
      </w:pPr>
      <w:r>
        <w:rPr>
          <w:rFonts w:ascii="Calibri" w:hAnsi="Calibri"/>
          <w:color w:val="202124"/>
          <w:sz w:val="22"/>
        </w:rPr>
        <w:t>Automate a bounded brute-force search and escape restricted shells, pagers, and wrappers.</w:t>
      </w:r>
    </w:p>
    <w:p>
      <w:pPr>
        <w:pStyle w:val="Heading2"/>
        <w:keepNext/>
      </w:pPr>
      <w:r>
        <w:t>Git operations and history analysis</w:t>
      </w:r>
    </w:p>
    <w:p>
      <w:pPr>
        <w:spacing w:after="120" w:line="264" w:lineRule="auto"/>
      </w:pPr>
      <w:r>
        <w:rPr>
          <w:rFonts w:ascii="Calibri" w:hAnsi="Calibri"/>
          <w:i/>
          <w:color w:val="202124"/>
          <w:sz w:val="22"/>
        </w:rPr>
        <w:t>Content anchor: Bandit 27-31.</w:t>
      </w:r>
    </w:p>
    <w:p>
      <w:pPr>
        <w:numPr>
          <w:ilvl w:val="0"/>
          <w:numId w:val="10"/>
        </w:numPr>
        <w:spacing w:after="120" w:line="264" w:lineRule="auto"/>
      </w:pPr>
      <w:r>
        <w:rPr>
          <w:rFonts w:ascii="Calibri" w:hAnsi="Calibri"/>
          <w:color w:val="202124"/>
          <w:sz w:val="22"/>
        </w:rPr>
        <w:t>Clone over SSH; inspect history, branches, and tags for data that is absent from the current default branch.</w:t>
      </w:r>
    </w:p>
    <w:p>
      <w:pPr>
        <w:numPr>
          <w:ilvl w:val="0"/>
          <w:numId w:val="10"/>
        </w:numPr>
        <w:spacing w:after="120" w:line="264" w:lineRule="auto"/>
      </w:pPr>
      <w:r>
        <w:rPr>
          <w:rFonts w:ascii="Calibri" w:hAnsi="Calibri"/>
          <w:color w:val="202124"/>
          <w:sz w:val="22"/>
        </w:rPr>
        <w:t>Follow repository contribution requirements through a real add, commit, and push workflow.</w:t>
      </w:r>
    </w:p>
    <w:p>
      <w:pPr>
        <w:pStyle w:val="Heading2"/>
        <w:keepNext/>
      </w:pPr>
      <w:r>
        <w:t>Classical cryptanalysis</w:t>
      </w:r>
    </w:p>
    <w:p>
      <w:pPr>
        <w:spacing w:after="120" w:line="264" w:lineRule="auto"/>
      </w:pPr>
      <w:r>
        <w:rPr>
          <w:rFonts w:ascii="Calibri" w:hAnsi="Calibri"/>
          <w:i/>
          <w:color w:val="202124"/>
          <w:sz w:val="22"/>
        </w:rPr>
        <w:t>Content anchor: Krypton 0-6.</w:t>
      </w:r>
    </w:p>
    <w:p>
      <w:pPr>
        <w:numPr>
          <w:ilvl w:val="0"/>
          <w:numId w:val="10"/>
        </w:numPr>
        <w:spacing w:after="120" w:line="264" w:lineRule="auto"/>
      </w:pPr>
      <w:r>
        <w:rPr>
          <w:rFonts w:ascii="Calibri" w:hAnsi="Calibri"/>
          <w:color w:val="202124"/>
          <w:sz w:val="22"/>
        </w:rPr>
        <w:t>Differentiate encoding from encryption; reverse Base64, ROT13, and Caesar shifts.</w:t>
      </w:r>
    </w:p>
    <w:p>
      <w:pPr>
        <w:numPr>
          <w:ilvl w:val="0"/>
          <w:numId w:val="10"/>
        </w:numPr>
        <w:spacing w:after="120" w:line="264" w:lineRule="auto"/>
      </w:pPr>
      <w:r>
        <w:rPr>
          <w:rFonts w:ascii="Calibri" w:hAnsi="Calibri"/>
          <w:color w:val="202124"/>
          <w:sz w:val="22"/>
        </w:rPr>
        <w:t>Apply known-plaintext and frequency-analysis attacks to substitution ciphers.</w:t>
      </w:r>
    </w:p>
    <w:p>
      <w:pPr>
        <w:numPr>
          <w:ilvl w:val="0"/>
          <w:numId w:val="10"/>
        </w:numPr>
        <w:spacing w:after="120" w:line="264" w:lineRule="auto"/>
      </w:pPr>
      <w:r>
        <w:rPr>
          <w:rFonts w:ascii="Calibri" w:hAnsi="Calibri"/>
          <w:color w:val="202124"/>
          <w:sz w:val="22"/>
        </w:rPr>
        <w:t>Break Vigenere with known and unknown key lengths using interleaving and Kasiski examination.</w:t>
      </w:r>
    </w:p>
    <w:p>
      <w:pPr>
        <w:numPr>
          <w:ilvl w:val="0"/>
          <w:numId w:val="10"/>
        </w:numPr>
        <w:spacing w:after="120" w:line="264" w:lineRule="auto"/>
      </w:pPr>
      <w:r>
        <w:rPr>
          <w:rFonts w:ascii="Calibri" w:hAnsi="Calibri"/>
          <w:color w:val="202124"/>
          <w:sz w:val="22"/>
        </w:rPr>
        <w:t>Explain why a repeating keystream fails and recover it from known plaintext.</w:t>
      </w:r>
    </w:p>
    <w:p>
      <w:pPr>
        <w:spacing w:before="100" w:after="180" w:line="264" w:lineRule="auto"/>
        <w:ind w:left="259" w:right="173"/>
        <w:shd w:fill="F3F7FB"/>
        <w:pBdr>
          <w:left w:val="single" w:sz="18" w:space="8" w:color="2E74B5"/>
        </w:pBdr>
      </w:pPr>
      <w:r>
        <w:rPr>
          <w:rFonts w:ascii="Calibri" w:hAnsi="Calibri"/>
          <w:b/>
          <w:color w:val="17365D"/>
          <w:sz w:val="22"/>
        </w:rPr>
        <w:t xml:space="preserve">CSD rehearsal demonstration: </w:t>
      </w:r>
      <w:r>
        <w:rPr>
          <w:rFonts w:ascii="Calibri" w:hAnsi="Calibri"/>
          <w:color w:val="202124"/>
          <w:sz w:val="22"/>
        </w:rPr>
        <w:t>Recommended sequence: show an SSH launch and basic file-discovery task; then show one network or privilege-boundary problem; close with a short Krypton analysis that explains the reasoning rather than only presenting the decoded answer.</w:t>
      </w:r>
    </w:p>
    <w:p>
      <w:r>
        <w:br w:type="page"/>
      </w:r>
    </w:p>
    <w:p>
      <w:pPr>
        <w:pStyle w:val="Heading1"/>
        <w:keepNext/>
      </w:pPr>
      <w:r>
        <w:t>3. CNO CTF learning objectives</w:t>
      </w:r>
    </w:p>
    <w:p>
      <w:pPr>
        <w:spacing w:after="120" w:line="264" w:lineRule="auto"/>
      </w:pPr>
      <w:r>
        <w:rPr>
          <w:rFonts w:ascii="Calibri" w:hAnsi="Calibri"/>
          <w:i w:val="0"/>
          <w:color w:val="202124"/>
          <w:sz w:val="22"/>
        </w:rPr>
        <w:t>Proposed scope: Natas. The lane uses an isolated attacker workstation and web target to teach how client-controlled data crosses server trust boundaries and how weak validation becomes exploitable.</w:t>
      </w:r>
    </w:p>
    <w:p>
      <w:pPr>
        <w:pStyle w:val="Heading2"/>
        <w:keepNext/>
      </w:pPr>
      <w:r>
        <w:t>Client-side and server-side trust</w:t>
      </w:r>
    </w:p>
    <w:p>
      <w:pPr>
        <w:spacing w:after="120" w:line="264" w:lineRule="auto"/>
      </w:pPr>
      <w:r>
        <w:rPr>
          <w:rFonts w:ascii="Calibri" w:hAnsi="Calibri"/>
          <w:i/>
          <w:color w:val="202124"/>
          <w:sz w:val="22"/>
        </w:rPr>
        <w:t>Content anchor: Natas 0-2.</w:t>
      </w:r>
    </w:p>
    <w:p>
      <w:pPr>
        <w:numPr>
          <w:ilvl w:val="0"/>
          <w:numId w:val="10"/>
        </w:numPr>
        <w:spacing w:after="120" w:line="264" w:lineRule="auto"/>
      </w:pPr>
      <w:r>
        <w:rPr>
          <w:rFonts w:ascii="Calibri" w:hAnsi="Calibri"/>
          <w:color w:val="202124"/>
          <w:sz w:val="22"/>
        </w:rPr>
        <w:t>Show why browser-only restrictions do not protect server content.</w:t>
      </w:r>
    </w:p>
    <w:p>
      <w:pPr>
        <w:numPr>
          <w:ilvl w:val="0"/>
          <w:numId w:val="10"/>
        </w:numPr>
        <w:spacing w:after="120" w:line="264" w:lineRule="auto"/>
      </w:pPr>
      <w:r>
        <w:rPr>
          <w:rFonts w:ascii="Calibri" w:hAnsi="Calibri"/>
          <w:color w:val="202124"/>
          <w:sz w:val="22"/>
        </w:rPr>
        <w:t>Inspect HTML source, comments, and unlinked directories for exposed information.</w:t>
      </w:r>
    </w:p>
    <w:p>
      <w:pPr>
        <w:pStyle w:val="Heading2"/>
        <w:keepNext/>
      </w:pPr>
      <w:r>
        <w:t>HTTP access-control manipulation</w:t>
      </w:r>
    </w:p>
    <w:p>
      <w:pPr>
        <w:spacing w:after="120" w:line="264" w:lineRule="auto"/>
      </w:pPr>
      <w:r>
        <w:rPr>
          <w:rFonts w:ascii="Calibri" w:hAnsi="Calibri"/>
          <w:i/>
          <w:color w:val="202124"/>
          <w:sz w:val="22"/>
        </w:rPr>
        <w:t>Content anchor: Natas 3-5.</w:t>
      </w:r>
    </w:p>
    <w:p>
      <w:pPr>
        <w:numPr>
          <w:ilvl w:val="0"/>
          <w:numId w:val="10"/>
        </w:numPr>
        <w:spacing w:after="120" w:line="264" w:lineRule="auto"/>
      </w:pPr>
      <w:r>
        <w:rPr>
          <w:rFonts w:ascii="Calibri" w:hAnsi="Calibri"/>
          <w:color w:val="202124"/>
          <w:sz w:val="22"/>
        </w:rPr>
        <w:t>Explain why robots.txt is not access control.</w:t>
      </w:r>
    </w:p>
    <w:p>
      <w:pPr>
        <w:numPr>
          <w:ilvl w:val="0"/>
          <w:numId w:val="10"/>
        </w:numPr>
        <w:spacing w:after="120" w:line="264" w:lineRule="auto"/>
      </w:pPr>
      <w:r>
        <w:rPr>
          <w:rFonts w:ascii="Calibri" w:hAnsi="Calibri"/>
          <w:color w:val="202124"/>
          <w:sz w:val="22"/>
        </w:rPr>
        <w:t>Forge a Referer header and modify an unsigned authorization cookie.</w:t>
      </w:r>
    </w:p>
    <w:p>
      <w:pPr>
        <w:pStyle w:val="Heading2"/>
        <w:keepNext/>
      </w:pPr>
      <w:r>
        <w:t>Source disclosure, file inclusion, and scheme reversal</w:t>
      </w:r>
    </w:p>
    <w:p>
      <w:pPr>
        <w:spacing w:after="120" w:line="264" w:lineRule="auto"/>
      </w:pPr>
      <w:r>
        <w:rPr>
          <w:rFonts w:ascii="Calibri" w:hAnsi="Calibri"/>
          <w:i/>
          <w:color w:val="202124"/>
          <w:sz w:val="22"/>
        </w:rPr>
        <w:t>Content anchor: Natas 6-8.</w:t>
      </w:r>
    </w:p>
    <w:p>
      <w:pPr>
        <w:numPr>
          <w:ilvl w:val="0"/>
          <w:numId w:val="10"/>
        </w:numPr>
        <w:spacing w:after="120" w:line="264" w:lineRule="auto"/>
      </w:pPr>
      <w:r>
        <w:rPr>
          <w:rFonts w:ascii="Calibri" w:hAnsi="Calibri"/>
          <w:color w:val="202124"/>
          <w:sz w:val="22"/>
        </w:rPr>
        <w:t>Use disclosed server source to locate secrets and data paths.</w:t>
      </w:r>
    </w:p>
    <w:p>
      <w:pPr>
        <w:numPr>
          <w:ilvl w:val="0"/>
          <w:numId w:val="10"/>
        </w:numPr>
        <w:spacing w:after="120" w:line="264" w:lineRule="auto"/>
      </w:pPr>
      <w:r>
        <w:rPr>
          <w:rFonts w:ascii="Calibri" w:hAnsi="Calibri"/>
          <w:color w:val="202124"/>
          <w:sz w:val="22"/>
        </w:rPr>
        <w:t>Recognize Local File Inclusion and read unintended files through an attacker-controlled path.</w:t>
      </w:r>
    </w:p>
    <w:p>
      <w:pPr>
        <w:numPr>
          <w:ilvl w:val="0"/>
          <w:numId w:val="10"/>
        </w:numPr>
        <w:spacing w:after="120" w:line="264" w:lineRule="auto"/>
      </w:pPr>
      <w:r>
        <w:rPr>
          <w:rFonts w:ascii="Calibri" w:hAnsi="Calibri"/>
          <w:color w:val="202124"/>
          <w:sz w:val="22"/>
        </w:rPr>
        <w:t>Reverse a multi-step encoding chain by applying inverse operations in reverse order.</w:t>
      </w:r>
    </w:p>
    <w:p>
      <w:pPr>
        <w:pStyle w:val="Heading2"/>
        <w:keepNext/>
      </w:pPr>
      <w:r>
        <w:t>Command injection and filter bypass</w:t>
      </w:r>
    </w:p>
    <w:p>
      <w:pPr>
        <w:spacing w:after="120" w:line="264" w:lineRule="auto"/>
      </w:pPr>
      <w:r>
        <w:rPr>
          <w:rFonts w:ascii="Calibri" w:hAnsi="Calibri"/>
          <w:i/>
          <w:color w:val="202124"/>
          <w:sz w:val="22"/>
        </w:rPr>
        <w:t>Content anchor: Natas 9-10.</w:t>
      </w:r>
    </w:p>
    <w:p>
      <w:pPr>
        <w:numPr>
          <w:ilvl w:val="0"/>
          <w:numId w:val="10"/>
        </w:numPr>
        <w:spacing w:after="120" w:line="264" w:lineRule="auto"/>
      </w:pPr>
      <w:r>
        <w:rPr>
          <w:rFonts w:ascii="Calibri" w:hAnsi="Calibri"/>
          <w:color w:val="202124"/>
          <w:sz w:val="22"/>
        </w:rPr>
        <w:t>Trace unsanitized input into a shell command and inject a controlled command.</w:t>
      </w:r>
    </w:p>
    <w:p>
      <w:pPr>
        <w:numPr>
          <w:ilvl w:val="0"/>
          <w:numId w:val="10"/>
        </w:numPr>
        <w:spacing w:after="120" w:line="264" w:lineRule="auto"/>
      </w:pPr>
      <w:r>
        <w:rPr>
          <w:rFonts w:ascii="Calibri" w:hAnsi="Calibri"/>
          <w:color w:val="202124"/>
          <w:sz w:val="22"/>
        </w:rPr>
        <w:t>Bypass a naive metacharacter blocklist by abusing the called program's own argument syntax.</w:t>
      </w:r>
    </w:p>
    <w:p>
      <w:pPr>
        <w:pStyle w:val="Heading2"/>
        <w:keepNext/>
      </w:pPr>
      <w:r>
        <w:t>Cryptographic trust failure</w:t>
      </w:r>
    </w:p>
    <w:p>
      <w:pPr>
        <w:spacing w:after="120" w:line="264" w:lineRule="auto"/>
      </w:pPr>
      <w:r>
        <w:rPr>
          <w:rFonts w:ascii="Calibri" w:hAnsi="Calibri"/>
          <w:i/>
          <w:color w:val="202124"/>
          <w:sz w:val="22"/>
        </w:rPr>
        <w:t>Content anchor: Natas 11.</w:t>
      </w:r>
    </w:p>
    <w:p>
      <w:pPr>
        <w:numPr>
          <w:ilvl w:val="0"/>
          <w:numId w:val="10"/>
        </w:numPr>
        <w:spacing w:after="120" w:line="264" w:lineRule="auto"/>
      </w:pPr>
      <w:r>
        <w:rPr>
          <w:rFonts w:ascii="Calibri" w:hAnsi="Calibri"/>
          <w:color w:val="202124"/>
          <w:sz w:val="22"/>
        </w:rPr>
        <w:t>Recover a repeating XOR key from known plaintext and forge trusted encrypted state.</w:t>
      </w:r>
    </w:p>
    <w:p>
      <w:pPr>
        <w:pStyle w:val="Heading2"/>
        <w:keepNext/>
      </w:pPr>
      <w:r>
        <w:t>File upload and SQL injection</w:t>
      </w:r>
    </w:p>
    <w:p>
      <w:pPr>
        <w:spacing w:after="120" w:line="264" w:lineRule="auto"/>
      </w:pPr>
      <w:r>
        <w:rPr>
          <w:rFonts w:ascii="Calibri" w:hAnsi="Calibri"/>
          <w:i/>
          <w:color w:val="202124"/>
          <w:sz w:val="22"/>
        </w:rPr>
        <w:t>Content anchor: Natas 12-14.</w:t>
      </w:r>
    </w:p>
    <w:p>
      <w:pPr>
        <w:numPr>
          <w:ilvl w:val="0"/>
          <w:numId w:val="10"/>
        </w:numPr>
        <w:spacing w:after="120" w:line="264" w:lineRule="auto"/>
      </w:pPr>
      <w:r>
        <w:rPr>
          <w:rFonts w:ascii="Calibri" w:hAnsi="Calibri"/>
          <w:color w:val="202124"/>
          <w:sz w:val="22"/>
        </w:rPr>
        <w:t>Demonstrate why extension and content-type checks do not safely control executable uploads.</w:t>
      </w:r>
    </w:p>
    <w:p>
      <w:pPr>
        <w:numPr>
          <w:ilvl w:val="0"/>
          <w:numId w:val="10"/>
        </w:numPr>
        <w:spacing w:after="120" w:line="264" w:lineRule="auto"/>
      </w:pPr>
      <w:r>
        <w:rPr>
          <w:rFonts w:ascii="Calibri" w:hAnsi="Calibri"/>
          <w:color w:val="202124"/>
          <w:sz w:val="22"/>
        </w:rPr>
        <w:t>Bypass a magic-byte check with a valid file signature preceding a payload.</w:t>
      </w:r>
    </w:p>
    <w:p>
      <w:pPr>
        <w:numPr>
          <w:ilvl w:val="0"/>
          <w:numId w:val="10"/>
        </w:numPr>
        <w:spacing w:after="120" w:line="264" w:lineRule="auto"/>
      </w:pPr>
      <w:r>
        <w:rPr>
          <w:rFonts w:ascii="Calibri" w:hAnsi="Calibri"/>
          <w:color w:val="202124"/>
          <w:sz w:val="22"/>
        </w:rPr>
        <w:t>Construct an SQL injection that matches the query's quoting style, forces a true condition, and comments out the remainder.</w:t>
      </w:r>
    </w:p>
    <w:p>
      <w:pPr>
        <w:spacing w:before="100" w:after="180" w:line="264" w:lineRule="auto"/>
        <w:ind w:left="259" w:right="173"/>
        <w:shd w:fill="F3F7FB"/>
        <w:pBdr>
          <w:left w:val="single" w:sz="18" w:space="8" w:color="2E74B5"/>
        </w:pBdr>
      </w:pPr>
      <w:r>
        <w:rPr>
          <w:rFonts w:ascii="Calibri" w:hAnsi="Calibri"/>
          <w:b/>
          <w:color w:val="17365D"/>
          <w:sz w:val="22"/>
        </w:rPr>
        <w:t xml:space="preserve">CNO rehearsal demonstration: </w:t>
      </w:r>
      <w:r>
        <w:rPr>
          <w:rFonts w:ascii="Calibri" w:hAnsi="Calibri"/>
          <w:color w:val="202124"/>
          <w:sz w:val="22"/>
        </w:rPr>
        <w:t>Use the noVNC attacker workstation, show a simple source or HTTP manipulation first, then narrate one server-side vulnerability. Keep payloads controlled and explain the defensive lesson: validate on the server, minimize trust in client input, and constrain execution and file access.</w:t>
      </w:r>
    </w:p>
    <w:p>
      <w:r>
        <w:br w:type="page"/>
      </w:r>
    </w:p>
    <w:p>
      <w:pPr>
        <w:pStyle w:val="Heading1"/>
        <w:keepNext/>
      </w:pPr>
      <w:r>
        <w:t>4. Rehearsal plan - 16 July 2026 at 1600</w:t>
      </w:r>
    </w:p>
    <w:p>
      <w:pPr>
        <w:spacing w:after="120" w:line="264" w:lineRule="auto"/>
      </w:pPr>
      <w:r>
        <w:rPr>
          <w:rFonts w:ascii="Calibri" w:hAnsi="Calibri"/>
          <w:i w:val="0"/>
          <w:color w:val="202124"/>
          <w:sz w:val="22"/>
        </w:rPr>
        <w:t>The following 90-minute run of show is a recommended planning baseline. Adjust it after SGT Tadios confirms the available rehearsal window and audience.</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050"/>
        <w:gridCol w:w="1500"/>
        <w:gridCol w:w="4050"/>
        <w:gridCol w:w="2760"/>
      </w:tblGrid>
      <w:tr>
        <w:trPr>
          <w:tblHeader w:val="true"/>
        </w:trPr>
        <w:tc>
          <w:tcPr>
            <w:tcW w:type="dxa" w:w="1050"/>
            <w:tcMar>
              <w:top w:w="100" w:type="dxa"/>
              <w:start w:w="120" w:type="dxa"/>
              <w:bottom w:w="100" w:type="dxa"/>
              <w:end w:w="120" w:type="dxa"/>
            </w:tcMar>
            <w:vAlign w:val="center"/>
            <w:shd w:fill="E8EEF5"/>
          </w:tcPr>
          <w:p>
            <w:pPr>
              <w:spacing w:before="0" w:after="0" w:line="252" w:lineRule="auto"/>
              <w:jc w:val="left"/>
            </w:pPr>
            <w:r>
              <w:rPr>
                <w:rFonts w:ascii="Calibri" w:hAnsi="Calibri"/>
                <w:b/>
                <w:color w:val="17365D"/>
                <w:sz w:val="18"/>
              </w:rPr>
              <w:t>Time</w:t>
            </w:r>
          </w:p>
        </w:tc>
        <w:tc>
          <w:tcPr>
            <w:tcW w:type="dxa" w:w="1500"/>
            <w:tcMar>
              <w:top w:w="100" w:type="dxa"/>
              <w:start w:w="120" w:type="dxa"/>
              <w:bottom w:w="100" w:type="dxa"/>
              <w:end w:w="120" w:type="dxa"/>
            </w:tcMar>
            <w:vAlign w:val="center"/>
            <w:shd w:fill="E8EEF5"/>
          </w:tcPr>
          <w:p>
            <w:pPr>
              <w:spacing w:before="0" w:after="0" w:line="252" w:lineRule="auto"/>
              <w:jc w:val="left"/>
            </w:pPr>
            <w:r>
              <w:rPr>
                <w:rFonts w:ascii="Calibri" w:hAnsi="Calibri"/>
                <w:b/>
                <w:color w:val="17365D"/>
                <w:sz w:val="18"/>
              </w:rPr>
              <w:t>Lead</w:t>
            </w:r>
          </w:p>
        </w:tc>
        <w:tc>
          <w:tcPr>
            <w:tcW w:type="dxa" w:w="4050"/>
            <w:tcMar>
              <w:top w:w="100" w:type="dxa"/>
              <w:start w:w="120" w:type="dxa"/>
              <w:bottom w:w="100" w:type="dxa"/>
              <w:end w:w="120" w:type="dxa"/>
            </w:tcMar>
            <w:vAlign w:val="center"/>
            <w:shd w:fill="E8EEF5"/>
          </w:tcPr>
          <w:p>
            <w:pPr>
              <w:spacing w:before="0" w:after="0" w:line="252" w:lineRule="auto"/>
              <w:jc w:val="left"/>
            </w:pPr>
            <w:r>
              <w:rPr>
                <w:rFonts w:ascii="Calibri" w:hAnsi="Calibri"/>
                <w:b/>
                <w:color w:val="17365D"/>
                <w:sz w:val="18"/>
              </w:rPr>
              <w:t>Action</w:t>
            </w:r>
          </w:p>
        </w:tc>
        <w:tc>
          <w:tcPr>
            <w:tcW w:type="dxa" w:w="2760"/>
            <w:tcMar>
              <w:top w:w="100" w:type="dxa"/>
              <w:start w:w="120" w:type="dxa"/>
              <w:bottom w:w="100" w:type="dxa"/>
              <w:end w:w="120" w:type="dxa"/>
            </w:tcMar>
            <w:vAlign w:val="center"/>
            <w:shd w:fill="E8EEF5"/>
          </w:tcPr>
          <w:p>
            <w:pPr>
              <w:spacing w:before="0" w:after="0" w:line="252" w:lineRule="auto"/>
              <w:jc w:val="left"/>
            </w:pPr>
            <w:r>
              <w:rPr>
                <w:rFonts w:ascii="Calibri" w:hAnsi="Calibri"/>
                <w:b/>
                <w:color w:val="17365D"/>
                <w:sz w:val="18"/>
              </w:rPr>
              <w:t>Acceptance evidence</w:t>
            </w:r>
          </w:p>
        </w:tc>
      </w:tr>
      <w:tr>
        <w:tc>
          <w:tcPr>
            <w:tcW w:type="dxa" w:w="1050"/>
          </w:tcPr>
          <w:p>
            <w:pPr>
              <w:spacing w:before="0" w:after="0" w:line="252" w:lineRule="auto"/>
              <w:jc w:val="left"/>
            </w:pPr>
            <w:r>
              <w:rPr>
                <w:rFonts w:ascii="Calibri" w:hAnsi="Calibri"/>
                <w:b w:val="0"/>
                <w:color w:val="202124"/>
                <w:sz w:val="18"/>
              </w:rPr>
              <w:t>1550-1600</w:t>
            </w:r>
          </w:p>
        </w:tc>
        <w:tc>
          <w:tcPr>
            <w:tcW w:type="dxa" w:w="1500"/>
          </w:tcPr>
          <w:p>
            <w:pPr>
              <w:spacing w:before="0" w:after="0" w:line="252" w:lineRule="auto"/>
              <w:jc w:val="left"/>
            </w:pPr>
            <w:r>
              <w:rPr>
                <w:rFonts w:ascii="Calibri" w:hAnsi="Calibri"/>
                <w:b w:val="0"/>
                <w:color w:val="202124"/>
                <w:sz w:val="18"/>
              </w:rPr>
              <w:t>Technical lead</w:t>
            </w:r>
          </w:p>
        </w:tc>
        <w:tc>
          <w:tcPr>
            <w:tcW w:type="dxa" w:w="4050"/>
          </w:tcPr>
          <w:p>
            <w:pPr>
              <w:spacing w:before="0" w:after="0" w:line="252" w:lineRule="auto"/>
              <w:jc w:val="left"/>
            </w:pPr>
            <w:r>
              <w:rPr>
                <w:rFonts w:ascii="Calibri" w:hAnsi="Calibri"/>
                <w:b w:val="0"/>
                <w:color w:val="202124"/>
                <w:sz w:val="18"/>
              </w:rPr>
              <w:t>Confirm server, CTFd, projector, network, presenter accounts, and one launch per track.</w:t>
            </w:r>
          </w:p>
        </w:tc>
        <w:tc>
          <w:tcPr>
            <w:tcW w:type="dxa" w:w="2760"/>
          </w:tcPr>
          <w:p>
            <w:pPr>
              <w:spacing w:before="0" w:after="0" w:line="252" w:lineRule="auto"/>
              <w:jc w:val="left"/>
            </w:pPr>
            <w:r>
              <w:rPr>
                <w:rFonts w:ascii="Calibri" w:hAnsi="Calibri"/>
                <w:b w:val="0"/>
                <w:color w:val="202124"/>
                <w:sz w:val="18"/>
              </w:rPr>
              <w:t>All three Start Here paths open; real connection information is returned.</w:t>
            </w:r>
          </w:p>
        </w:tc>
      </w:tr>
      <w:tr>
        <w:tc>
          <w:tcPr>
            <w:tcW w:type="dxa" w:w="1050"/>
            <w:shd w:fill="FAFBFC"/>
          </w:tcPr>
          <w:p>
            <w:pPr>
              <w:spacing w:before="0" w:after="0" w:line="252" w:lineRule="auto"/>
              <w:jc w:val="left"/>
            </w:pPr>
            <w:r>
              <w:rPr>
                <w:rFonts w:ascii="Calibri" w:hAnsi="Calibri"/>
                <w:b w:val="0"/>
                <w:color w:val="202124"/>
                <w:sz w:val="18"/>
              </w:rPr>
              <w:t>1600-1610</w:t>
            </w:r>
          </w:p>
        </w:tc>
        <w:tc>
          <w:tcPr>
            <w:tcW w:type="dxa" w:w="1500"/>
            <w:shd w:fill="FAFBFC"/>
          </w:tcPr>
          <w:p>
            <w:pPr>
              <w:spacing w:before="0" w:after="0" w:line="252" w:lineRule="auto"/>
              <w:jc w:val="left"/>
            </w:pPr>
            <w:r>
              <w:rPr>
                <w:rFonts w:ascii="Calibri" w:hAnsi="Calibri"/>
                <w:b w:val="0"/>
                <w:color w:val="202124"/>
                <w:sz w:val="18"/>
              </w:rPr>
              <w:t>SGT Tadios / lead</w:t>
            </w:r>
          </w:p>
        </w:tc>
        <w:tc>
          <w:tcPr>
            <w:tcW w:type="dxa" w:w="4050"/>
            <w:shd w:fill="FAFBFC"/>
          </w:tcPr>
          <w:p>
            <w:pPr>
              <w:spacing w:before="0" w:after="0" w:line="252" w:lineRule="auto"/>
              <w:jc w:val="left"/>
            </w:pPr>
            <w:r>
              <w:rPr>
                <w:rFonts w:ascii="Calibri" w:hAnsi="Calibri"/>
                <w:b w:val="0"/>
                <w:color w:val="202124"/>
                <w:sz w:val="18"/>
              </w:rPr>
              <w:t>State intent, CSD/CNO alignment, audience, event outcomes, and rehearsal standards.</w:t>
            </w:r>
          </w:p>
        </w:tc>
        <w:tc>
          <w:tcPr>
            <w:tcW w:type="dxa" w:w="2760"/>
            <w:shd w:fill="FAFBFC"/>
          </w:tcPr>
          <w:p>
            <w:pPr>
              <w:spacing w:before="0" w:after="0" w:line="252" w:lineRule="auto"/>
              <w:jc w:val="left"/>
            </w:pPr>
            <w:r>
              <w:rPr>
                <w:rFonts w:ascii="Calibri" w:hAnsi="Calibri"/>
                <w:b w:val="0"/>
                <w:color w:val="202124"/>
                <w:sz w:val="18"/>
              </w:rPr>
              <w:t>All participants understand what is being rehearsed and what decisions are needed.</w:t>
            </w:r>
          </w:p>
        </w:tc>
      </w:tr>
      <w:tr>
        <w:tc>
          <w:tcPr>
            <w:tcW w:type="dxa" w:w="1050"/>
          </w:tcPr>
          <w:p>
            <w:pPr>
              <w:spacing w:before="0" w:after="0" w:line="252" w:lineRule="auto"/>
              <w:jc w:val="left"/>
            </w:pPr>
            <w:r>
              <w:rPr>
                <w:rFonts w:ascii="Calibri" w:hAnsi="Calibri"/>
                <w:b w:val="0"/>
                <w:color w:val="202124"/>
                <w:sz w:val="18"/>
              </w:rPr>
              <w:t>1610-1630</w:t>
            </w:r>
          </w:p>
        </w:tc>
        <w:tc>
          <w:tcPr>
            <w:tcW w:type="dxa" w:w="1500"/>
          </w:tcPr>
          <w:p>
            <w:pPr>
              <w:spacing w:before="0" w:after="0" w:line="252" w:lineRule="auto"/>
              <w:jc w:val="left"/>
            </w:pPr>
            <w:r>
              <w:rPr>
                <w:rFonts w:ascii="Calibri" w:hAnsi="Calibri"/>
                <w:b w:val="0"/>
                <w:color w:val="202124"/>
                <w:sz w:val="18"/>
              </w:rPr>
              <w:t>CSD presenter</w:t>
            </w:r>
          </w:p>
        </w:tc>
        <w:tc>
          <w:tcPr>
            <w:tcW w:type="dxa" w:w="4050"/>
          </w:tcPr>
          <w:p>
            <w:pPr>
              <w:spacing w:before="0" w:after="0" w:line="252" w:lineRule="auto"/>
              <w:jc w:val="left"/>
            </w:pPr>
            <w:r>
              <w:rPr>
                <w:rFonts w:ascii="Calibri" w:hAnsi="Calibri"/>
                <w:b w:val="0"/>
                <w:color w:val="202124"/>
                <w:sz w:val="18"/>
              </w:rPr>
              <w:t>Demonstrate Bandit/Krypton participant flow and explain selected learning objectives.</w:t>
            </w:r>
          </w:p>
        </w:tc>
        <w:tc>
          <w:tcPr>
            <w:tcW w:type="dxa" w:w="2760"/>
          </w:tcPr>
          <w:p>
            <w:pPr>
              <w:spacing w:before="0" w:after="0" w:line="252" w:lineRule="auto"/>
              <w:jc w:val="left"/>
            </w:pPr>
            <w:r>
              <w:rPr>
                <w:rFonts w:ascii="Calibri" w:hAnsi="Calibri"/>
                <w:b w:val="0"/>
                <w:color w:val="202124"/>
                <w:sz w:val="18"/>
              </w:rPr>
              <w:t>Launch, solve-path explanation, hint use, flag submission, and learning takeaway are clear.</w:t>
            </w:r>
          </w:p>
        </w:tc>
      </w:tr>
      <w:tr>
        <w:tc>
          <w:tcPr>
            <w:tcW w:type="dxa" w:w="1050"/>
            <w:shd w:fill="FAFBFC"/>
          </w:tcPr>
          <w:p>
            <w:pPr>
              <w:spacing w:before="0" w:after="0" w:line="252" w:lineRule="auto"/>
              <w:jc w:val="left"/>
            </w:pPr>
            <w:r>
              <w:rPr>
                <w:rFonts w:ascii="Calibri" w:hAnsi="Calibri"/>
                <w:b w:val="0"/>
                <w:color w:val="202124"/>
                <w:sz w:val="18"/>
              </w:rPr>
              <w:t>1630-1650</w:t>
            </w:r>
          </w:p>
        </w:tc>
        <w:tc>
          <w:tcPr>
            <w:tcW w:type="dxa" w:w="1500"/>
            <w:shd w:fill="FAFBFC"/>
          </w:tcPr>
          <w:p>
            <w:pPr>
              <w:spacing w:before="0" w:after="0" w:line="252" w:lineRule="auto"/>
              <w:jc w:val="left"/>
            </w:pPr>
            <w:r>
              <w:rPr>
                <w:rFonts w:ascii="Calibri" w:hAnsi="Calibri"/>
                <w:b w:val="0"/>
                <w:color w:val="202124"/>
                <w:sz w:val="18"/>
              </w:rPr>
              <w:t>CNO presenter</w:t>
            </w:r>
          </w:p>
        </w:tc>
        <w:tc>
          <w:tcPr>
            <w:tcW w:type="dxa" w:w="4050"/>
            <w:shd w:fill="FAFBFC"/>
          </w:tcPr>
          <w:p>
            <w:pPr>
              <w:spacing w:before="0" w:after="0" w:line="252" w:lineRule="auto"/>
              <w:jc w:val="left"/>
            </w:pPr>
            <w:r>
              <w:rPr>
                <w:rFonts w:ascii="Calibri" w:hAnsi="Calibri"/>
                <w:b w:val="0"/>
                <w:color w:val="202124"/>
                <w:sz w:val="18"/>
              </w:rPr>
              <w:t>Demonstrate Natas attacker workflow and explain selected web-security objectives.</w:t>
            </w:r>
          </w:p>
        </w:tc>
        <w:tc>
          <w:tcPr>
            <w:tcW w:type="dxa" w:w="2760"/>
            <w:shd w:fill="FAFBFC"/>
          </w:tcPr>
          <w:p>
            <w:pPr>
              <w:spacing w:before="0" w:after="0" w:line="252" w:lineRule="auto"/>
              <w:jc w:val="left"/>
            </w:pPr>
            <w:r>
              <w:rPr>
                <w:rFonts w:ascii="Calibri" w:hAnsi="Calibri"/>
                <w:b w:val="0"/>
                <w:color w:val="202124"/>
                <w:sz w:val="18"/>
              </w:rPr>
              <w:t>noVNC path, isolated target access, controlled exploit, and defensive takeaway are clear.</w:t>
            </w:r>
          </w:p>
        </w:tc>
      </w:tr>
      <w:tr>
        <w:tc>
          <w:tcPr>
            <w:tcW w:type="dxa" w:w="1050"/>
          </w:tcPr>
          <w:p>
            <w:pPr>
              <w:spacing w:before="0" w:after="0" w:line="252" w:lineRule="auto"/>
              <w:jc w:val="left"/>
            </w:pPr>
            <w:r>
              <w:rPr>
                <w:rFonts w:ascii="Calibri" w:hAnsi="Calibri"/>
                <w:b w:val="0"/>
                <w:color w:val="202124"/>
                <w:sz w:val="18"/>
              </w:rPr>
              <w:t>1650-1705</w:t>
            </w:r>
          </w:p>
        </w:tc>
        <w:tc>
          <w:tcPr>
            <w:tcW w:type="dxa" w:w="1500"/>
          </w:tcPr>
          <w:p>
            <w:pPr>
              <w:spacing w:before="0" w:after="0" w:line="252" w:lineRule="auto"/>
              <w:jc w:val="left"/>
            </w:pPr>
            <w:r>
              <w:rPr>
                <w:rFonts w:ascii="Calibri" w:hAnsi="Calibri"/>
                <w:b w:val="0"/>
                <w:color w:val="202124"/>
                <w:sz w:val="18"/>
              </w:rPr>
              <w:t>Technical lead</w:t>
            </w:r>
          </w:p>
        </w:tc>
        <w:tc>
          <w:tcPr>
            <w:tcW w:type="dxa" w:w="4050"/>
          </w:tcPr>
          <w:p>
            <w:pPr>
              <w:spacing w:before="0" w:after="0" w:line="252" w:lineRule="auto"/>
              <w:jc w:val="left"/>
            </w:pPr>
            <w:r>
              <w:rPr>
                <w:rFonts w:ascii="Calibri" w:hAnsi="Calibri"/>
                <w:b w:val="0"/>
                <w:color w:val="202124"/>
                <w:sz w:val="18"/>
              </w:rPr>
              <w:t>Demonstrate stage control, scoreboard, troubleshooting path, reboot/relaunch, and instructor support material.</w:t>
            </w:r>
          </w:p>
        </w:tc>
        <w:tc>
          <w:tcPr>
            <w:tcW w:type="dxa" w:w="2760"/>
          </w:tcPr>
          <w:p>
            <w:pPr>
              <w:spacing w:before="0" w:after="0" w:line="252" w:lineRule="auto"/>
              <w:jc w:val="left"/>
            </w:pPr>
            <w:r>
              <w:rPr>
                <w:rFonts w:ascii="Calibri" w:hAnsi="Calibri"/>
                <w:b w:val="0"/>
                <w:color w:val="202124"/>
                <w:sz w:val="18"/>
              </w:rPr>
              <w:t>Presenters can distinguish participant difficulty from a platform fault.</w:t>
            </w:r>
          </w:p>
        </w:tc>
      </w:tr>
      <w:tr>
        <w:tc>
          <w:tcPr>
            <w:tcW w:type="dxa" w:w="1050"/>
            <w:shd w:fill="FAFBFC"/>
          </w:tcPr>
          <w:p>
            <w:pPr>
              <w:spacing w:before="0" w:after="0" w:line="252" w:lineRule="auto"/>
              <w:jc w:val="left"/>
            </w:pPr>
            <w:r>
              <w:rPr>
                <w:rFonts w:ascii="Calibri" w:hAnsi="Calibri"/>
                <w:b w:val="0"/>
                <w:color w:val="202124"/>
                <w:sz w:val="18"/>
              </w:rPr>
              <w:t>1705-1720</w:t>
            </w:r>
          </w:p>
        </w:tc>
        <w:tc>
          <w:tcPr>
            <w:tcW w:type="dxa" w:w="1500"/>
            <w:shd w:fill="FAFBFC"/>
          </w:tcPr>
          <w:p>
            <w:pPr>
              <w:spacing w:before="0" w:after="0" w:line="252" w:lineRule="auto"/>
              <w:jc w:val="left"/>
            </w:pPr>
            <w:r>
              <w:rPr>
                <w:rFonts w:ascii="Calibri" w:hAnsi="Calibri"/>
                <w:b w:val="0"/>
                <w:color w:val="202124"/>
                <w:sz w:val="18"/>
              </w:rPr>
              <w:t>All</w:t>
            </w:r>
          </w:p>
        </w:tc>
        <w:tc>
          <w:tcPr>
            <w:tcW w:type="dxa" w:w="4050"/>
            <w:shd w:fill="FAFBFC"/>
          </w:tcPr>
          <w:p>
            <w:pPr>
              <w:spacing w:before="0" w:after="0" w:line="252" w:lineRule="auto"/>
              <w:jc w:val="left"/>
            </w:pPr>
            <w:r>
              <w:rPr>
                <w:rFonts w:ascii="Calibri" w:hAnsi="Calibri"/>
                <w:b w:val="0"/>
                <w:color w:val="202124"/>
                <w:sz w:val="18"/>
              </w:rPr>
              <w:t>Rehearse the BC brief from start to finish without interruption.</w:t>
            </w:r>
          </w:p>
        </w:tc>
        <w:tc>
          <w:tcPr>
            <w:tcW w:type="dxa" w:w="2760"/>
            <w:shd w:fill="FAFBFC"/>
          </w:tcPr>
          <w:p>
            <w:pPr>
              <w:spacing w:before="0" w:after="0" w:line="252" w:lineRule="auto"/>
              <w:jc w:val="left"/>
            </w:pPr>
            <w:r>
              <w:rPr>
                <w:rFonts w:ascii="Calibri" w:hAnsi="Calibri"/>
                <w:b w:val="0"/>
                <w:color w:val="202124"/>
                <w:sz w:val="18"/>
              </w:rPr>
              <w:t>Brief fits the allotted time and ends with clear support requests / decisions.</w:t>
            </w:r>
          </w:p>
        </w:tc>
      </w:tr>
      <w:tr>
        <w:tc>
          <w:tcPr>
            <w:tcW w:type="dxa" w:w="1050"/>
          </w:tcPr>
          <w:p>
            <w:pPr>
              <w:spacing w:before="0" w:after="0" w:line="252" w:lineRule="auto"/>
              <w:jc w:val="left"/>
            </w:pPr>
            <w:r>
              <w:rPr>
                <w:rFonts w:ascii="Calibri" w:hAnsi="Calibri"/>
                <w:b w:val="0"/>
                <w:color w:val="202124"/>
                <w:sz w:val="18"/>
              </w:rPr>
              <w:t>1720-1730</w:t>
            </w:r>
          </w:p>
        </w:tc>
        <w:tc>
          <w:tcPr>
            <w:tcW w:type="dxa" w:w="1500"/>
          </w:tcPr>
          <w:p>
            <w:pPr>
              <w:spacing w:before="0" w:after="0" w:line="252" w:lineRule="auto"/>
              <w:jc w:val="left"/>
            </w:pPr>
            <w:r>
              <w:rPr>
                <w:rFonts w:ascii="Calibri" w:hAnsi="Calibri"/>
                <w:b w:val="0"/>
                <w:color w:val="202124"/>
                <w:sz w:val="18"/>
              </w:rPr>
              <w:t>SGT Tadios</w:t>
            </w:r>
          </w:p>
        </w:tc>
        <w:tc>
          <w:tcPr>
            <w:tcW w:type="dxa" w:w="4050"/>
          </w:tcPr>
          <w:p>
            <w:pPr>
              <w:spacing w:before="0" w:after="0" w:line="252" w:lineRule="auto"/>
              <w:jc w:val="left"/>
            </w:pPr>
            <w:r>
              <w:rPr>
                <w:rFonts w:ascii="Calibri" w:hAnsi="Calibri"/>
                <w:b w:val="0"/>
                <w:color w:val="202124"/>
                <w:sz w:val="18"/>
              </w:rPr>
              <w:t>Conduct AAR and assign corrections with owners and suspense dates.</w:t>
            </w:r>
          </w:p>
        </w:tc>
        <w:tc>
          <w:tcPr>
            <w:tcW w:type="dxa" w:w="2760"/>
          </w:tcPr>
          <w:p>
            <w:pPr>
              <w:spacing w:before="0" w:after="0" w:line="252" w:lineRule="auto"/>
              <w:jc w:val="left"/>
            </w:pPr>
            <w:r>
              <w:rPr>
                <w:rFonts w:ascii="Calibri" w:hAnsi="Calibri"/>
                <w:b w:val="0"/>
                <w:color w:val="202124"/>
                <w:sz w:val="18"/>
              </w:rPr>
              <w:t>Open actions are captured before participants depart.</w:t>
            </w:r>
          </w:p>
        </w:tc>
      </w:tr>
    </w:tbl>
    <w:p>
      <w:pPr>
        <w:spacing w:after="20"/>
      </w:pPr>
    </w:p>
    <w:p>
      <w:pPr>
        <w:pStyle w:val="Heading2"/>
        <w:keepNext/>
      </w:pPr>
      <w:r>
        <w:t>Technical rehearsal gates</w:t>
      </w:r>
    </w:p>
    <w:p>
      <w:pPr>
        <w:numPr>
          <w:ilvl w:val="0"/>
          <w:numId w:val="10"/>
        </w:numPr>
        <w:spacing w:after="120" w:line="264" w:lineRule="auto"/>
      </w:pPr>
      <w:r>
        <w:rPr>
          <w:rFonts w:ascii="Calibri" w:hAnsi="Calibri"/>
          <w:color w:val="202124"/>
          <w:sz w:val="22"/>
        </w:rPr>
        <w:t>Catalog gate: 59 challenges are present in CTFd and grouped as 35 Bandit, 8 Krypton, and 16 Natas.</w:t>
      </w:r>
    </w:p>
    <w:p>
      <w:pPr>
        <w:numPr>
          <w:ilvl w:val="0"/>
          <w:numId w:val="10"/>
        </w:numPr>
        <w:spacing w:after="120" w:line="264" w:lineRule="auto"/>
      </w:pPr>
      <w:r>
        <w:rPr>
          <w:rFonts w:ascii="Calibri" w:hAnsi="Calibri"/>
          <w:color w:val="202124"/>
          <w:sz w:val="22"/>
        </w:rPr>
        <w:t>Entry gate: each Start Here challenge is visible and each track returns a usable environment or self-contained puzzle.</w:t>
      </w:r>
    </w:p>
    <w:p>
      <w:pPr>
        <w:numPr>
          <w:ilvl w:val="0"/>
          <w:numId w:val="10"/>
        </w:numPr>
        <w:spacing w:after="120" w:line="264" w:lineRule="auto"/>
      </w:pPr>
      <w:r>
        <w:rPr>
          <w:rFonts w:ascii="Calibri" w:hAnsi="Calibri"/>
          <w:color w:val="202124"/>
          <w:sz w:val="22"/>
        </w:rPr>
        <w:t>CSD gate: a real SSH connection succeeds and at least one Bandit and one Krypton instructional objective can be demonstrated.</w:t>
      </w:r>
    </w:p>
    <w:p>
      <w:pPr>
        <w:numPr>
          <w:ilvl w:val="0"/>
          <w:numId w:val="10"/>
        </w:numPr>
        <w:spacing w:after="120" w:line="264" w:lineRule="auto"/>
      </w:pPr>
      <w:r>
        <w:rPr>
          <w:rFonts w:ascii="Calibri" w:hAnsi="Calibri"/>
          <w:color w:val="202124"/>
          <w:sz w:val="22"/>
        </w:rPr>
        <w:t>CNO gate: the noVNC attacker workstation opens, reaches only its assigned Natas target, and completes one controlled objective.</w:t>
      </w:r>
    </w:p>
    <w:p>
      <w:pPr>
        <w:numPr>
          <w:ilvl w:val="0"/>
          <w:numId w:val="10"/>
        </w:numPr>
        <w:spacing w:after="120" w:line="264" w:lineRule="auto"/>
      </w:pPr>
      <w:r>
        <w:rPr>
          <w:rFonts w:ascii="Calibri" w:hAnsi="Calibri"/>
          <w:color w:val="202124"/>
          <w:sz w:val="22"/>
        </w:rPr>
        <w:t>Facilitation gate: presenters can use hints, instructor references, reboot/relaunch controls, and the scoreboard without exposing answer material.</w:t>
      </w:r>
    </w:p>
    <w:p>
      <w:pPr>
        <w:numPr>
          <w:ilvl w:val="0"/>
          <w:numId w:val="10"/>
        </w:numPr>
        <w:spacing w:after="120" w:line="264" w:lineRule="auto"/>
      </w:pPr>
      <w:r>
        <w:rPr>
          <w:rFonts w:ascii="Calibri" w:hAnsi="Calibri"/>
          <w:color w:val="202124"/>
          <w:sz w:val="22"/>
        </w:rPr>
        <w:t>Recovery gate: presenters know the fallback if a launch fails, the server becomes unavailable, or the venue network does not support the plan.</w:t>
      </w:r>
    </w:p>
    <w:p>
      <w:pPr>
        <w:pStyle w:val="Heading2"/>
        <w:keepNext/>
      </w:pPr>
      <w:r>
        <w:t>Rehearsal data to capture</w:t>
      </w:r>
    </w:p>
    <w:p>
      <w:pPr>
        <w:numPr>
          <w:ilvl w:val="0"/>
          <w:numId w:val="10"/>
        </w:numPr>
        <w:spacing w:after="120" w:line="264" w:lineRule="auto"/>
      </w:pPr>
      <w:r>
        <w:rPr>
          <w:rFonts w:ascii="Calibri" w:hAnsi="Calibri"/>
          <w:color w:val="202124"/>
          <w:sz w:val="22"/>
        </w:rPr>
        <w:t>Setup time, launch time, and time required to reach the first meaningful objective in each lane.</w:t>
      </w:r>
    </w:p>
    <w:p>
      <w:pPr>
        <w:numPr>
          <w:ilvl w:val="0"/>
          <w:numId w:val="10"/>
        </w:numPr>
        <w:spacing w:after="120" w:line="264" w:lineRule="auto"/>
      </w:pPr>
      <w:r>
        <w:rPr>
          <w:rFonts w:ascii="Calibri" w:hAnsi="Calibri"/>
          <w:color w:val="202124"/>
          <w:sz w:val="22"/>
        </w:rPr>
        <w:t>Any unclear participant instruction, access problem, hint gap, or presenter handoff issue.</w:t>
      </w:r>
    </w:p>
    <w:p>
      <w:pPr>
        <w:numPr>
          <w:ilvl w:val="0"/>
          <w:numId w:val="10"/>
        </w:numPr>
        <w:spacing w:after="120" w:line="264" w:lineRule="auto"/>
      </w:pPr>
      <w:r>
        <w:rPr>
          <w:rFonts w:ascii="Calibri" w:hAnsi="Calibri"/>
          <w:color w:val="202124"/>
          <w:sz w:val="22"/>
        </w:rPr>
        <w:t>Resource utilization and service errors during simultaneous demonstrations.</w:t>
      </w:r>
    </w:p>
    <w:p>
      <w:pPr>
        <w:numPr>
          <w:ilvl w:val="0"/>
          <w:numId w:val="10"/>
        </w:numPr>
        <w:spacing w:after="120" w:line="264" w:lineRule="auto"/>
      </w:pPr>
      <w:r>
        <w:rPr>
          <w:rFonts w:ascii="Calibri" w:hAnsi="Calibri"/>
          <w:color w:val="202124"/>
          <w:sz w:val="22"/>
        </w:rPr>
        <w:t>Questions the rehearsal audience asks; these should shape the BC briefing and FAQ.</w:t>
      </w:r>
    </w:p>
    <w:p>
      <w:r>
        <w:br w:type="page"/>
      </w:r>
    </w:p>
    <w:p>
      <w:pPr>
        <w:pStyle w:val="Heading1"/>
        <w:keepNext/>
      </w:pPr>
      <w:r>
        <w:t>5. BC briefing framework - 23 July 2026</w:t>
      </w:r>
    </w:p>
    <w:p>
      <w:pPr>
        <w:spacing w:after="120" w:line="264" w:lineRule="auto"/>
      </w:pPr>
      <w:r>
        <w:rPr>
          <w:rFonts w:ascii="Calibri" w:hAnsi="Calibri"/>
          <w:i w:val="0"/>
          <w:color w:val="202124"/>
          <w:sz w:val="22"/>
        </w:rPr>
        <w:t>Recommended length: 8-10 minutes plus questions. Confirm the actual suspense, location, and demonstration allowance before finalizing slides or live access.</w:t>
      </w:r>
    </w:p>
    <w:p>
      <w:pPr>
        <w:pStyle w:val="Heading2"/>
        <w:keepNext/>
      </w:pPr>
      <w:r>
        <w:t>1. Purpose and operational value</w:t>
      </w:r>
    </w:p>
    <w:p>
      <w:pPr>
        <w:spacing w:after="120" w:line="264" w:lineRule="auto"/>
      </w:pPr>
      <w:r>
        <w:rPr>
          <w:rFonts w:ascii="Calibri" w:hAnsi="Calibri"/>
          <w:i w:val="0"/>
          <w:color w:val="202124"/>
          <w:sz w:val="22"/>
        </w:rPr>
        <w:t>Explain that the two CTF lanes provide hands-on, observable practice rather than a knowledge-only briefing. State the target audience and the behavior participants should demonstrate.</w:t>
      </w:r>
    </w:p>
    <w:p>
      <w:pPr>
        <w:pStyle w:val="Heading2"/>
        <w:keepNext/>
      </w:pPr>
      <w:r>
        <w:t>2. CSD CTF</w:t>
      </w:r>
    </w:p>
    <w:p>
      <w:pPr>
        <w:spacing w:after="120" w:line="264" w:lineRule="auto"/>
      </w:pPr>
      <w:r>
        <w:rPr>
          <w:rFonts w:ascii="Calibri" w:hAnsi="Calibri"/>
          <w:i w:val="0"/>
          <w:color w:val="202124"/>
          <w:sz w:val="22"/>
        </w:rPr>
        <w:t>SGT Tadios, SSG Kinsey, or a designated representative explains how Bandit and Krypton develop Linux operations, secure access, analytical discipline, automation awareness, and cryptanalysis.</w:t>
      </w:r>
    </w:p>
    <w:p>
      <w:pPr>
        <w:pStyle w:val="Heading2"/>
        <w:keepNext/>
      </w:pPr>
      <w:r>
        <w:t>3. CNO CTF</w:t>
      </w:r>
    </w:p>
    <w:p>
      <w:pPr>
        <w:spacing w:after="120" w:line="264" w:lineRule="auto"/>
      </w:pPr>
      <w:r>
        <w:rPr>
          <w:rFonts w:ascii="Calibri" w:hAnsi="Calibri"/>
          <w:i w:val="0"/>
          <w:color w:val="202124"/>
          <w:sz w:val="22"/>
        </w:rPr>
        <w:t>SGT Peralta or SPC Land explains how Natas teaches web trust boundaries, HTTP manipulation, source review, injection, upload control, and SQL injection in an isolated range.</w:t>
      </w:r>
    </w:p>
    <w:p>
      <w:pPr>
        <w:pStyle w:val="Heading2"/>
        <w:keepNext/>
      </w:pPr>
      <w:r>
        <w:t>4. Participant experience</w:t>
      </w:r>
    </w:p>
    <w:p>
      <w:pPr>
        <w:spacing w:after="120" w:line="264" w:lineRule="auto"/>
      </w:pPr>
      <w:r>
        <w:rPr>
          <w:rFonts w:ascii="Calibri" w:hAnsi="Calibri"/>
          <w:i w:val="0"/>
          <w:color w:val="202124"/>
          <w:sz w:val="22"/>
        </w:rPr>
        <w:t>Show login, Start Here, environment launch, progressive hints, flag submission, and scoreboard. Explain that Bandit/Krypton use SSH while Natas uses a separate attacker workstation.</w:t>
      </w:r>
    </w:p>
    <w:p>
      <w:pPr>
        <w:pStyle w:val="Heading2"/>
        <w:keepNext/>
      </w:pPr>
      <w:r>
        <w:t>5. Safety and control</w:t>
      </w:r>
    </w:p>
    <w:p>
      <w:pPr>
        <w:spacing w:after="120" w:line="264" w:lineRule="auto"/>
      </w:pPr>
      <w:r>
        <w:rPr>
          <w:rFonts w:ascii="Calibri" w:hAnsi="Calibri"/>
          <w:i w:val="0"/>
          <w:color w:val="202124"/>
          <w:sz w:val="22"/>
        </w:rPr>
        <w:t>Describe isolated environments, per-team dynamic flags for the live content, facilitator oversight, staged track control, and recovery procedures. Avoid claiming a venue control that has not been rehearsed.</w:t>
      </w:r>
    </w:p>
    <w:p>
      <w:pPr>
        <w:pStyle w:val="Heading2"/>
        <w:keepNext/>
      </w:pPr>
      <w:r>
        <w:t>6. Readiness and evidence</w:t>
      </w:r>
    </w:p>
    <w:p>
      <w:pPr>
        <w:spacing w:after="120" w:line="264" w:lineRule="auto"/>
      </w:pPr>
      <w:r>
        <w:rPr>
          <w:rFonts w:ascii="Calibri" w:hAnsi="Calibri"/>
          <w:i w:val="0"/>
          <w:color w:val="202124"/>
          <w:sz w:val="22"/>
        </w:rPr>
        <w:t>Report the rehearsal result using objective measures: catalog count, successful launches, representative objectives demonstrated, timing, faults, and corrected actions.</w:t>
      </w:r>
    </w:p>
    <w:p>
      <w:pPr>
        <w:pStyle w:val="Heading2"/>
        <w:keepNext/>
      </w:pPr>
      <w:r>
        <w:t>7. Decision / support request</w:t>
      </w:r>
    </w:p>
    <w:p>
      <w:pPr>
        <w:spacing w:after="120" w:line="264" w:lineRule="auto"/>
      </w:pPr>
      <w:r>
        <w:rPr>
          <w:rFonts w:ascii="Calibri" w:hAnsi="Calibri"/>
          <w:i w:val="0"/>
          <w:color w:val="202124"/>
          <w:sz w:val="22"/>
        </w:rPr>
        <w:t>End with the exact location, equipment, network, personnel, risk-acceptance, or schedule decision needed from leadership. If no decision is needed, state that plainly.</w:t>
      </w:r>
    </w:p>
    <w:p>
      <w:pPr>
        <w:spacing w:before="100" w:after="180" w:line="264" w:lineRule="auto"/>
        <w:ind w:left="259" w:right="173"/>
        <w:shd w:fill="FFF1F0"/>
        <w:pBdr>
          <w:left w:val="single" w:sz="18" w:space="8" w:color="9B1C1C"/>
        </w:pBdr>
      </w:pPr>
      <w:r>
        <w:rPr>
          <w:rFonts w:ascii="Calibri" w:hAnsi="Calibri"/>
          <w:b/>
          <w:color w:val="17365D"/>
          <w:sz w:val="22"/>
        </w:rPr>
        <w:t xml:space="preserve">Avoid: </w:t>
      </w:r>
      <w:r>
        <w:rPr>
          <w:rFonts w:ascii="Calibri" w:hAnsi="Calibri"/>
          <w:color w:val="202124"/>
          <w:sz w:val="22"/>
        </w:rPr>
        <w:t>Do not brief passwords, flags, exploit payloads, or full solution steps. Use sanitized screenshots or a controlled live demonstration, and keep instructor writeups restricted to facilitators.</w:t>
      </w:r>
    </w:p>
    <w:p>
      <w:r>
        <w:br w:type="page"/>
      </w:r>
    </w:p>
    <w:p>
      <w:pPr>
        <w:pStyle w:val="Heading1"/>
        <w:keepNext/>
      </w:pPr>
      <w:r>
        <w:t>6. Logistics, personnel, and risk checklist</w:t>
      </w:r>
    </w:p>
    <w:p>
      <w:pPr>
        <w:pStyle w:val="Heading2"/>
        <w:keepNext/>
      </w:pPr>
      <w:r>
        <w:t>Coordination and personnel</w:t>
      </w:r>
    </w:p>
    <w:p>
      <w:pPr>
        <w:numPr>
          <w:ilvl w:val="0"/>
          <w:numId w:val="10"/>
        </w:numPr>
        <w:spacing w:after="120" w:line="264" w:lineRule="auto"/>
      </w:pPr>
      <w:r>
        <w:rPr>
          <w:rFonts w:ascii="Calibri" w:hAnsi="Calibri"/>
          <w:color w:val="202124"/>
          <w:sz w:val="22"/>
        </w:rPr>
        <w:t>Confirm SGT Tadios as planning point of contact and identify an alternate.</w:t>
      </w:r>
    </w:p>
    <w:p>
      <w:pPr>
        <w:numPr>
          <w:ilvl w:val="0"/>
          <w:numId w:val="10"/>
        </w:numPr>
        <w:spacing w:after="120" w:line="264" w:lineRule="auto"/>
      </w:pPr>
      <w:r>
        <w:rPr>
          <w:rFonts w:ascii="Calibri" w:hAnsi="Calibri"/>
          <w:color w:val="202124"/>
          <w:sz w:val="22"/>
        </w:rPr>
        <w:t>Confirm the CSD presenter: SGT Tadios, SSG Kinsey, or designated representative.</w:t>
      </w:r>
    </w:p>
    <w:p>
      <w:pPr>
        <w:numPr>
          <w:ilvl w:val="0"/>
          <w:numId w:val="10"/>
        </w:numPr>
        <w:spacing w:after="120" w:line="264" w:lineRule="auto"/>
      </w:pPr>
      <w:r>
        <w:rPr>
          <w:rFonts w:ascii="Calibri" w:hAnsi="Calibri"/>
          <w:color w:val="202124"/>
          <w:sz w:val="22"/>
        </w:rPr>
        <w:t>Confirm the CNO presenter: SGT Peralta or SPC Land.</w:t>
      </w:r>
    </w:p>
    <w:p>
      <w:pPr>
        <w:numPr>
          <w:ilvl w:val="0"/>
          <w:numId w:val="10"/>
        </w:numPr>
        <w:spacing w:after="120" w:line="264" w:lineRule="auto"/>
      </w:pPr>
      <w:r>
        <w:rPr>
          <w:rFonts w:ascii="Calibri" w:hAnsi="Calibri"/>
          <w:color w:val="202124"/>
          <w:sz w:val="22"/>
        </w:rPr>
        <w:t>Assign technical operator, facilitator, timekeeper, and note-taker roles for rehearsal and brief.</w:t>
      </w:r>
    </w:p>
    <w:p>
      <w:pPr>
        <w:pStyle w:val="Heading2"/>
        <w:keepNext/>
      </w:pPr>
      <w:r>
        <w:t>Location and schedule</w:t>
      </w:r>
    </w:p>
    <w:p>
      <w:pPr>
        <w:numPr>
          <w:ilvl w:val="0"/>
          <w:numId w:val="10"/>
        </w:numPr>
        <w:spacing w:after="120" w:line="264" w:lineRule="auto"/>
      </w:pPr>
      <w:r>
        <w:rPr>
          <w:rFonts w:ascii="Calibri" w:hAnsi="Calibri"/>
          <w:color w:val="202124"/>
          <w:sz w:val="22"/>
        </w:rPr>
        <w:t>Reserve the rehearsal location for 16 July before 1600 with setup time included.</w:t>
      </w:r>
    </w:p>
    <w:p>
      <w:pPr>
        <w:numPr>
          <w:ilvl w:val="0"/>
          <w:numId w:val="10"/>
        </w:numPr>
        <w:spacing w:after="120" w:line="264" w:lineRule="auto"/>
      </w:pPr>
      <w:r>
        <w:rPr>
          <w:rFonts w:ascii="Calibri" w:hAnsi="Calibri"/>
          <w:color w:val="202124"/>
          <w:sz w:val="22"/>
        </w:rPr>
        <w:t>Reserve the 23 July BC briefing location and confirm briefing time, access, display capability, and classification constraints.</w:t>
      </w:r>
    </w:p>
    <w:p>
      <w:pPr>
        <w:numPr>
          <w:ilvl w:val="0"/>
          <w:numId w:val="10"/>
        </w:numPr>
        <w:spacing w:after="120" w:line="264" w:lineRule="auto"/>
      </w:pPr>
      <w:r>
        <w:rPr>
          <w:rFonts w:ascii="Calibri" w:hAnsi="Calibri"/>
          <w:color w:val="202124"/>
          <w:sz w:val="22"/>
        </w:rPr>
        <w:t>Publish arrival, setup, rehearsal start, teardown, and correction suspense times.</w:t>
      </w:r>
    </w:p>
    <w:p>
      <w:pPr>
        <w:pStyle w:val="Heading2"/>
        <w:keepNext/>
      </w:pPr>
      <w:r>
        <w:t>Equipment and network</w:t>
      </w:r>
    </w:p>
    <w:p>
      <w:pPr>
        <w:numPr>
          <w:ilvl w:val="0"/>
          <w:numId w:val="10"/>
        </w:numPr>
        <w:spacing w:after="120" w:line="264" w:lineRule="auto"/>
      </w:pPr>
      <w:r>
        <w:rPr>
          <w:rFonts w:ascii="Calibri" w:hAnsi="Calibri"/>
          <w:color w:val="202124"/>
          <w:sz w:val="22"/>
        </w:rPr>
        <w:t>CTF server / station, power supplies, network equipment, operator laptop, presenter laptops, projector/display, adapters, and extension power.</w:t>
      </w:r>
    </w:p>
    <w:p>
      <w:pPr>
        <w:numPr>
          <w:ilvl w:val="0"/>
          <w:numId w:val="10"/>
        </w:numPr>
        <w:spacing w:after="120" w:line="264" w:lineRule="auto"/>
      </w:pPr>
      <w:r>
        <w:rPr>
          <w:rFonts w:ascii="Calibri" w:hAnsi="Calibri"/>
          <w:color w:val="202124"/>
          <w:sz w:val="22"/>
        </w:rPr>
        <w:t>Participant or demonstration workstations with SSH client and modern browser; verify noVNC from the actual venue network.</w:t>
      </w:r>
    </w:p>
    <w:p>
      <w:pPr>
        <w:numPr>
          <w:ilvl w:val="0"/>
          <w:numId w:val="10"/>
        </w:numPr>
        <w:spacing w:after="120" w:line="264" w:lineRule="auto"/>
      </w:pPr>
      <w:r>
        <w:rPr>
          <w:rFonts w:ascii="Calibri" w:hAnsi="Calibri"/>
          <w:color w:val="202124"/>
          <w:sz w:val="22"/>
        </w:rPr>
        <w:t>Administrative credentials, presenter test accounts, printed or offline quick-start, instructor cheat sheet, and troubleshooting guide.</w:t>
      </w:r>
    </w:p>
    <w:p>
      <w:pPr>
        <w:numPr>
          <w:ilvl w:val="0"/>
          <w:numId w:val="10"/>
        </w:numPr>
        <w:spacing w:after="120" w:line="264" w:lineRule="auto"/>
      </w:pPr>
      <w:r>
        <w:rPr>
          <w:rFonts w:ascii="Calibri" w:hAnsi="Calibri"/>
          <w:color w:val="202124"/>
          <w:sz w:val="22"/>
        </w:rPr>
        <w:t>Submit equipment requests early enough to test the exact issued equipment during rehearsal.</w:t>
      </w:r>
    </w:p>
    <w:p>
      <w:pPr>
        <w:pStyle w:val="Heading2"/>
        <w:keepNext/>
      </w:pPr>
      <w:r>
        <w:t>Risk and continuity</w:t>
      </w:r>
    </w:p>
    <w:p>
      <w:pPr>
        <w:numPr>
          <w:ilvl w:val="0"/>
          <w:numId w:val="10"/>
        </w:numPr>
        <w:spacing w:after="120" w:line="264" w:lineRule="auto"/>
      </w:pPr>
      <w:r>
        <w:rPr>
          <w:rFonts w:ascii="Calibri" w:hAnsi="Calibri"/>
          <w:color w:val="202124"/>
          <w:sz w:val="22"/>
        </w:rPr>
        <w:t>Determine whether a DRAW is required; document electrical, cable, trip, network, account, and content-handling risks as applicable.</w:t>
      </w:r>
    </w:p>
    <w:p>
      <w:pPr>
        <w:numPr>
          <w:ilvl w:val="0"/>
          <w:numId w:val="10"/>
        </w:numPr>
        <w:spacing w:after="120" w:line="264" w:lineRule="auto"/>
      </w:pPr>
      <w:r>
        <w:rPr>
          <w:rFonts w:ascii="Calibri" w:hAnsi="Calibri"/>
          <w:color w:val="202124"/>
          <w:sz w:val="22"/>
        </w:rPr>
        <w:t>Define a no-network fallback: screenshots, prerecorded sanitized demonstration, learning-objective brief, and printed facilitator material.</w:t>
      </w:r>
    </w:p>
    <w:p>
      <w:pPr>
        <w:numPr>
          <w:ilvl w:val="0"/>
          <w:numId w:val="10"/>
        </w:numPr>
        <w:spacing w:after="120" w:line="264" w:lineRule="auto"/>
      </w:pPr>
      <w:r>
        <w:rPr>
          <w:rFonts w:ascii="Calibri" w:hAnsi="Calibri"/>
          <w:color w:val="202124"/>
          <w:sz w:val="22"/>
        </w:rPr>
        <w:t>Keep answer keys, flags, and instructor writeups separated from participant materials.</w:t>
      </w:r>
    </w:p>
    <w:p>
      <w:pPr>
        <w:numPr>
          <w:ilvl w:val="0"/>
          <w:numId w:val="10"/>
        </w:numPr>
        <w:spacing w:after="120" w:line="264" w:lineRule="auto"/>
      </w:pPr>
      <w:r>
        <w:rPr>
          <w:rFonts w:ascii="Calibri" w:hAnsi="Calibri"/>
          <w:color w:val="202124"/>
          <w:sz w:val="22"/>
        </w:rPr>
        <w:t>Identify the authority and process for stopping or resetting the event if isolation, safety, or platform controls fail.</w:t>
      </w:r>
    </w:p>
    <w:p>
      <w:pPr>
        <w:pStyle w:val="Heading2"/>
        <w:keepNext/>
      </w:pPr>
      <w:r>
        <w:t>Minimum equipment request data</w:t>
      </w:r>
    </w:p>
    <w:p>
      <w:pPr>
        <w:spacing w:after="120" w:line="264" w:lineRule="auto"/>
      </w:pPr>
      <w:r>
        <w:rPr>
          <w:rFonts w:ascii="Calibri" w:hAnsi="Calibri"/>
          <w:i w:val="0"/>
          <w:color w:val="202124"/>
          <w:sz w:val="22"/>
        </w:rPr>
        <w:t>Each request should state item, quantity, required-by date, intended use, responsible hand-receipt holder, setup location, power/network dependency, and tested alternate. Do not submit a generic request that cannot be tied to the rehearsal or briefing configuration.</w:t>
      </w:r>
    </w:p>
    <w:p>
      <w:r>
        <w:br w:type="page"/>
      </w:r>
    </w:p>
    <w:p>
      <w:pPr>
        <w:pStyle w:val="Heading1"/>
        <w:keepNext/>
      </w:pPr>
      <w:r>
        <w:t>7. Evaluation plan and readiness report</w:t>
      </w:r>
    </w:p>
    <w:p>
      <w:pPr>
        <w:spacing w:after="120" w:line="264" w:lineRule="auto"/>
      </w:pPr>
      <w:r>
        <w:rPr>
          <w:rFonts w:ascii="Calibri" w:hAnsi="Calibri"/>
          <w:i w:val="0"/>
          <w:color w:val="202124"/>
          <w:sz w:val="22"/>
        </w:rPr>
        <w:t>The rehearsal should produce evidence about learning delivery, not only whether the platform stayed online. The repository does not contain representative novice, intermediate, and advanced timing data, so 16 July should establish the first event-specific baseline.</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380"/>
        <w:gridCol w:w="3180"/>
        <w:gridCol w:w="2400"/>
        <w:gridCol w:w="2400"/>
      </w:tblGrid>
      <w:tr>
        <w:trPr>
          <w:tblHeader w:val="true"/>
        </w:trPr>
        <w:tc>
          <w:tcPr>
            <w:tcW w:type="dxa" w:w="1380"/>
            <w:tcMar>
              <w:top w:w="100" w:type="dxa"/>
              <w:start w:w="120" w:type="dxa"/>
              <w:bottom w:w="100" w:type="dxa"/>
              <w:end w:w="120" w:type="dxa"/>
            </w:tcMar>
            <w:vAlign w:val="center"/>
            <w:shd w:fill="E8EEF5"/>
          </w:tcPr>
          <w:p>
            <w:pPr>
              <w:spacing w:before="0" w:after="0" w:line="252" w:lineRule="auto"/>
              <w:jc w:val="left"/>
            </w:pPr>
            <w:r>
              <w:rPr>
                <w:rFonts w:ascii="Calibri" w:hAnsi="Calibri"/>
                <w:b/>
                <w:color w:val="17365D"/>
                <w:sz w:val="18"/>
              </w:rPr>
              <w:t>Measure</w:t>
            </w:r>
          </w:p>
        </w:tc>
        <w:tc>
          <w:tcPr>
            <w:tcW w:type="dxa" w:w="3180"/>
            <w:tcMar>
              <w:top w:w="100" w:type="dxa"/>
              <w:start w:w="120" w:type="dxa"/>
              <w:bottom w:w="100" w:type="dxa"/>
              <w:end w:w="120" w:type="dxa"/>
            </w:tcMar>
            <w:vAlign w:val="center"/>
            <w:shd w:fill="E8EEF5"/>
          </w:tcPr>
          <w:p>
            <w:pPr>
              <w:spacing w:before="0" w:after="0" w:line="252" w:lineRule="auto"/>
              <w:jc w:val="left"/>
            </w:pPr>
            <w:r>
              <w:rPr>
                <w:rFonts w:ascii="Calibri" w:hAnsi="Calibri"/>
                <w:b/>
                <w:color w:val="17365D"/>
                <w:sz w:val="18"/>
              </w:rPr>
              <w:t>What to observe</w:t>
            </w:r>
          </w:p>
        </w:tc>
        <w:tc>
          <w:tcPr>
            <w:tcW w:type="dxa" w:w="2400"/>
            <w:tcMar>
              <w:top w:w="100" w:type="dxa"/>
              <w:start w:w="120" w:type="dxa"/>
              <w:bottom w:w="100" w:type="dxa"/>
              <w:end w:w="120" w:type="dxa"/>
            </w:tcMar>
            <w:vAlign w:val="center"/>
            <w:shd w:fill="E8EEF5"/>
          </w:tcPr>
          <w:p>
            <w:pPr>
              <w:spacing w:before="0" w:after="0" w:line="252" w:lineRule="auto"/>
              <w:jc w:val="left"/>
            </w:pPr>
            <w:r>
              <w:rPr>
                <w:rFonts w:ascii="Calibri" w:hAnsi="Calibri"/>
                <w:b/>
                <w:color w:val="17365D"/>
                <w:sz w:val="18"/>
              </w:rPr>
              <w:t>Collection method</w:t>
            </w:r>
          </w:p>
        </w:tc>
        <w:tc>
          <w:tcPr>
            <w:tcW w:type="dxa" w:w="2400"/>
            <w:tcMar>
              <w:top w:w="100" w:type="dxa"/>
              <w:start w:w="120" w:type="dxa"/>
              <w:bottom w:w="100" w:type="dxa"/>
              <w:end w:w="120" w:type="dxa"/>
            </w:tcMar>
            <w:vAlign w:val="center"/>
            <w:shd w:fill="E8EEF5"/>
          </w:tcPr>
          <w:p>
            <w:pPr>
              <w:spacing w:before="0" w:after="0" w:line="252" w:lineRule="auto"/>
              <w:jc w:val="left"/>
            </w:pPr>
            <w:r>
              <w:rPr>
                <w:rFonts w:ascii="Calibri" w:hAnsi="Calibri"/>
                <w:b/>
                <w:color w:val="17365D"/>
                <w:sz w:val="18"/>
              </w:rPr>
              <w:t>Use in BC brief</w:t>
            </w:r>
          </w:p>
        </w:tc>
      </w:tr>
      <w:tr>
        <w:tc>
          <w:tcPr>
            <w:tcW w:type="dxa" w:w="1380"/>
          </w:tcPr>
          <w:p>
            <w:pPr>
              <w:spacing w:before="0" w:after="0" w:line="252" w:lineRule="auto"/>
              <w:jc w:val="left"/>
            </w:pPr>
            <w:r>
              <w:rPr>
                <w:rFonts w:ascii="Calibri" w:hAnsi="Calibri"/>
                <w:b w:val="0"/>
                <w:color w:val="202124"/>
                <w:sz w:val="18"/>
              </w:rPr>
              <w:t>Access</w:t>
            </w:r>
          </w:p>
        </w:tc>
        <w:tc>
          <w:tcPr>
            <w:tcW w:type="dxa" w:w="3180"/>
          </w:tcPr>
          <w:p>
            <w:pPr>
              <w:spacing w:before="0" w:after="0" w:line="252" w:lineRule="auto"/>
              <w:jc w:val="left"/>
            </w:pPr>
            <w:r>
              <w:rPr>
                <w:rFonts w:ascii="Calibri" w:hAnsi="Calibri"/>
                <w:b w:val="0"/>
                <w:color w:val="202124"/>
                <w:sz w:val="18"/>
              </w:rPr>
              <w:t>Login, Start Here, launch, and connection success by track</w:t>
            </w:r>
          </w:p>
        </w:tc>
        <w:tc>
          <w:tcPr>
            <w:tcW w:type="dxa" w:w="2400"/>
          </w:tcPr>
          <w:p>
            <w:pPr>
              <w:spacing w:before="0" w:after="0" w:line="252" w:lineRule="auto"/>
              <w:jc w:val="left"/>
            </w:pPr>
            <w:r>
              <w:rPr>
                <w:rFonts w:ascii="Calibri" w:hAnsi="Calibri"/>
                <w:b w:val="0"/>
                <w:color w:val="202124"/>
                <w:sz w:val="18"/>
              </w:rPr>
              <w:t>Operator checklist and timestamps</w:t>
            </w:r>
          </w:p>
        </w:tc>
        <w:tc>
          <w:tcPr>
            <w:tcW w:type="dxa" w:w="2400"/>
          </w:tcPr>
          <w:p>
            <w:pPr>
              <w:spacing w:before="0" w:after="0" w:line="252" w:lineRule="auto"/>
              <w:jc w:val="left"/>
            </w:pPr>
            <w:r>
              <w:rPr>
                <w:rFonts w:ascii="Calibri" w:hAnsi="Calibri"/>
                <w:b w:val="0"/>
                <w:color w:val="202124"/>
                <w:sz w:val="18"/>
              </w:rPr>
              <w:t>Shows basic event readiness</w:t>
            </w:r>
          </w:p>
        </w:tc>
      </w:tr>
      <w:tr>
        <w:tc>
          <w:tcPr>
            <w:tcW w:type="dxa" w:w="1380"/>
            <w:shd w:fill="FAFBFC"/>
          </w:tcPr>
          <w:p>
            <w:pPr>
              <w:spacing w:before="0" w:after="0" w:line="252" w:lineRule="auto"/>
              <w:jc w:val="left"/>
            </w:pPr>
            <w:r>
              <w:rPr>
                <w:rFonts w:ascii="Calibri" w:hAnsi="Calibri"/>
                <w:b w:val="0"/>
                <w:color w:val="202124"/>
                <w:sz w:val="18"/>
              </w:rPr>
              <w:t>Learning</w:t>
            </w:r>
          </w:p>
        </w:tc>
        <w:tc>
          <w:tcPr>
            <w:tcW w:type="dxa" w:w="3180"/>
            <w:shd w:fill="FAFBFC"/>
          </w:tcPr>
          <w:p>
            <w:pPr>
              <w:spacing w:before="0" w:after="0" w:line="252" w:lineRule="auto"/>
              <w:jc w:val="left"/>
            </w:pPr>
            <w:r>
              <w:rPr>
                <w:rFonts w:ascii="Calibri" w:hAnsi="Calibri"/>
                <w:b w:val="0"/>
                <w:color w:val="202124"/>
                <w:sz w:val="18"/>
              </w:rPr>
              <w:t>Participant explains the concept and selects an appropriate tool or technique</w:t>
            </w:r>
          </w:p>
        </w:tc>
        <w:tc>
          <w:tcPr>
            <w:tcW w:type="dxa" w:w="2400"/>
            <w:shd w:fill="FAFBFC"/>
          </w:tcPr>
          <w:p>
            <w:pPr>
              <w:spacing w:before="0" w:after="0" w:line="252" w:lineRule="auto"/>
              <w:jc w:val="left"/>
            </w:pPr>
            <w:r>
              <w:rPr>
                <w:rFonts w:ascii="Calibri" w:hAnsi="Calibri"/>
                <w:b w:val="0"/>
                <w:color w:val="202124"/>
                <w:sz w:val="18"/>
              </w:rPr>
              <w:t>Facilitator observation; short teach-back</w:t>
            </w:r>
          </w:p>
        </w:tc>
        <w:tc>
          <w:tcPr>
            <w:tcW w:type="dxa" w:w="2400"/>
            <w:shd w:fill="FAFBFC"/>
          </w:tcPr>
          <w:p>
            <w:pPr>
              <w:spacing w:before="0" w:after="0" w:line="252" w:lineRule="auto"/>
              <w:jc w:val="left"/>
            </w:pPr>
            <w:r>
              <w:rPr>
                <w:rFonts w:ascii="Calibri" w:hAnsi="Calibri"/>
                <w:b w:val="0"/>
                <w:color w:val="202124"/>
                <w:sz w:val="18"/>
              </w:rPr>
              <w:t>Shows training value beyond solve count</w:t>
            </w:r>
          </w:p>
        </w:tc>
      </w:tr>
      <w:tr>
        <w:tc>
          <w:tcPr>
            <w:tcW w:type="dxa" w:w="1380"/>
          </w:tcPr>
          <w:p>
            <w:pPr>
              <w:spacing w:before="0" w:after="0" w:line="252" w:lineRule="auto"/>
              <w:jc w:val="left"/>
            </w:pPr>
            <w:r>
              <w:rPr>
                <w:rFonts w:ascii="Calibri" w:hAnsi="Calibri"/>
                <w:b w:val="0"/>
                <w:color w:val="202124"/>
                <w:sz w:val="18"/>
              </w:rPr>
              <w:t>Progress</w:t>
            </w:r>
          </w:p>
        </w:tc>
        <w:tc>
          <w:tcPr>
            <w:tcW w:type="dxa" w:w="3180"/>
          </w:tcPr>
          <w:p>
            <w:pPr>
              <w:spacing w:before="0" w:after="0" w:line="252" w:lineRule="auto"/>
              <w:jc w:val="left"/>
            </w:pPr>
            <w:r>
              <w:rPr>
                <w:rFonts w:ascii="Calibri" w:hAnsi="Calibri"/>
                <w:b w:val="0"/>
                <w:color w:val="202124"/>
                <w:sz w:val="18"/>
              </w:rPr>
              <w:t>Levels attempted/solved and objective bands reached</w:t>
            </w:r>
          </w:p>
        </w:tc>
        <w:tc>
          <w:tcPr>
            <w:tcW w:type="dxa" w:w="2400"/>
          </w:tcPr>
          <w:p>
            <w:pPr>
              <w:spacing w:before="0" w:after="0" w:line="252" w:lineRule="auto"/>
              <w:jc w:val="left"/>
            </w:pPr>
            <w:r>
              <w:rPr>
                <w:rFonts w:ascii="Calibri" w:hAnsi="Calibri"/>
                <w:b w:val="0"/>
                <w:color w:val="202124"/>
                <w:sz w:val="18"/>
              </w:rPr>
              <w:t>CTFd scoreboard/submission export</w:t>
            </w:r>
          </w:p>
        </w:tc>
        <w:tc>
          <w:tcPr>
            <w:tcW w:type="dxa" w:w="2400"/>
          </w:tcPr>
          <w:p>
            <w:pPr>
              <w:spacing w:before="0" w:after="0" w:line="252" w:lineRule="auto"/>
              <w:jc w:val="left"/>
            </w:pPr>
            <w:r>
              <w:rPr>
                <w:rFonts w:ascii="Calibri" w:hAnsi="Calibri"/>
                <w:b w:val="0"/>
                <w:color w:val="202124"/>
                <w:sz w:val="18"/>
              </w:rPr>
              <w:t>Shows achievable depth for the event window</w:t>
            </w:r>
          </w:p>
        </w:tc>
      </w:tr>
      <w:tr>
        <w:tc>
          <w:tcPr>
            <w:tcW w:type="dxa" w:w="1380"/>
            <w:shd w:fill="FAFBFC"/>
          </w:tcPr>
          <w:p>
            <w:pPr>
              <w:spacing w:before="0" w:after="0" w:line="252" w:lineRule="auto"/>
              <w:jc w:val="left"/>
            </w:pPr>
            <w:r>
              <w:rPr>
                <w:rFonts w:ascii="Calibri" w:hAnsi="Calibri"/>
                <w:b w:val="0"/>
                <w:color w:val="202124"/>
                <w:sz w:val="18"/>
              </w:rPr>
              <w:t>Assistance</w:t>
            </w:r>
          </w:p>
        </w:tc>
        <w:tc>
          <w:tcPr>
            <w:tcW w:type="dxa" w:w="3180"/>
            <w:shd w:fill="FAFBFC"/>
          </w:tcPr>
          <w:p>
            <w:pPr>
              <w:spacing w:before="0" w:after="0" w:line="252" w:lineRule="auto"/>
              <w:jc w:val="left"/>
            </w:pPr>
            <w:r>
              <w:rPr>
                <w:rFonts w:ascii="Calibri" w:hAnsi="Calibri"/>
                <w:b w:val="0"/>
                <w:color w:val="202124"/>
                <w:sz w:val="18"/>
              </w:rPr>
              <w:t>Hint tier used, facilitator intervention, and recurring confusion</w:t>
            </w:r>
          </w:p>
        </w:tc>
        <w:tc>
          <w:tcPr>
            <w:tcW w:type="dxa" w:w="2400"/>
            <w:shd w:fill="FAFBFC"/>
          </w:tcPr>
          <w:p>
            <w:pPr>
              <w:spacing w:before="0" w:after="0" w:line="252" w:lineRule="auto"/>
              <w:jc w:val="left"/>
            </w:pPr>
            <w:r>
              <w:rPr>
                <w:rFonts w:ascii="Calibri" w:hAnsi="Calibri"/>
                <w:b w:val="0"/>
                <w:color w:val="202124"/>
                <w:sz w:val="18"/>
              </w:rPr>
              <w:t>CTFd hint data plus facilitator notes</w:t>
            </w:r>
          </w:p>
        </w:tc>
        <w:tc>
          <w:tcPr>
            <w:tcW w:type="dxa" w:w="2400"/>
            <w:shd w:fill="FAFBFC"/>
          </w:tcPr>
          <w:p>
            <w:pPr>
              <w:spacing w:before="0" w:after="0" w:line="252" w:lineRule="auto"/>
              <w:jc w:val="left"/>
            </w:pPr>
            <w:r>
              <w:rPr>
                <w:rFonts w:ascii="Calibri" w:hAnsi="Calibri"/>
                <w:b w:val="0"/>
                <w:color w:val="202124"/>
                <w:sz w:val="18"/>
              </w:rPr>
              <w:t>Identifies where instruction or time must change</w:t>
            </w:r>
          </w:p>
        </w:tc>
      </w:tr>
      <w:tr>
        <w:tc>
          <w:tcPr>
            <w:tcW w:type="dxa" w:w="1380"/>
          </w:tcPr>
          <w:p>
            <w:pPr>
              <w:spacing w:before="0" w:after="0" w:line="252" w:lineRule="auto"/>
              <w:jc w:val="left"/>
            </w:pPr>
            <w:r>
              <w:rPr>
                <w:rFonts w:ascii="Calibri" w:hAnsi="Calibri"/>
                <w:b w:val="0"/>
                <w:color w:val="202124"/>
                <w:sz w:val="18"/>
              </w:rPr>
              <w:t>Reliability</w:t>
            </w:r>
          </w:p>
        </w:tc>
        <w:tc>
          <w:tcPr>
            <w:tcW w:type="dxa" w:w="3180"/>
          </w:tcPr>
          <w:p>
            <w:pPr>
              <w:spacing w:before="0" w:after="0" w:line="252" w:lineRule="auto"/>
              <w:jc w:val="left"/>
            </w:pPr>
            <w:r>
              <w:rPr>
                <w:rFonts w:ascii="Calibri" w:hAnsi="Calibri"/>
                <w:b w:val="0"/>
                <w:color w:val="202124"/>
                <w:sz w:val="18"/>
              </w:rPr>
              <w:t>Launch latency, errors, recovery actions, and resource pressure</w:t>
            </w:r>
          </w:p>
        </w:tc>
        <w:tc>
          <w:tcPr>
            <w:tcW w:type="dxa" w:w="2400"/>
          </w:tcPr>
          <w:p>
            <w:pPr>
              <w:spacing w:before="0" w:after="0" w:line="252" w:lineRule="auto"/>
              <w:jc w:val="left"/>
            </w:pPr>
            <w:r>
              <w:rPr>
                <w:rFonts w:ascii="Calibri" w:hAnsi="Calibri"/>
                <w:b w:val="0"/>
                <w:color w:val="202124"/>
                <w:sz w:val="18"/>
              </w:rPr>
              <w:t>Operator log and resource capture</w:t>
            </w:r>
          </w:p>
        </w:tc>
        <w:tc>
          <w:tcPr>
            <w:tcW w:type="dxa" w:w="2400"/>
          </w:tcPr>
          <w:p>
            <w:pPr>
              <w:spacing w:before="0" w:after="0" w:line="252" w:lineRule="auto"/>
              <w:jc w:val="left"/>
            </w:pPr>
            <w:r>
              <w:rPr>
                <w:rFonts w:ascii="Calibri" w:hAnsi="Calibri"/>
                <w:b w:val="0"/>
                <w:color w:val="202124"/>
                <w:sz w:val="18"/>
              </w:rPr>
              <w:t>Supports readiness and resourcing decisions</w:t>
            </w:r>
          </w:p>
        </w:tc>
      </w:tr>
      <w:tr>
        <w:tc>
          <w:tcPr>
            <w:tcW w:type="dxa" w:w="1380"/>
            <w:shd w:fill="FAFBFC"/>
          </w:tcPr>
          <w:p>
            <w:pPr>
              <w:spacing w:before="0" w:after="0" w:line="252" w:lineRule="auto"/>
              <w:jc w:val="left"/>
            </w:pPr>
            <w:r>
              <w:rPr>
                <w:rFonts w:ascii="Calibri" w:hAnsi="Calibri"/>
                <w:b w:val="0"/>
                <w:color w:val="202124"/>
                <w:sz w:val="18"/>
              </w:rPr>
              <w:t>Safety</w:t>
            </w:r>
          </w:p>
        </w:tc>
        <w:tc>
          <w:tcPr>
            <w:tcW w:type="dxa" w:w="3180"/>
            <w:shd w:fill="FAFBFC"/>
          </w:tcPr>
          <w:p>
            <w:pPr>
              <w:spacing w:before="0" w:after="0" w:line="252" w:lineRule="auto"/>
              <w:jc w:val="left"/>
            </w:pPr>
            <w:r>
              <w:rPr>
                <w:rFonts w:ascii="Calibri" w:hAnsi="Calibri"/>
                <w:b w:val="0"/>
                <w:color w:val="202124"/>
                <w:sz w:val="18"/>
              </w:rPr>
              <w:t>Isolation, account handling, venue hazards, and stop conditions</w:t>
            </w:r>
          </w:p>
        </w:tc>
        <w:tc>
          <w:tcPr>
            <w:tcW w:type="dxa" w:w="2400"/>
            <w:shd w:fill="FAFBFC"/>
          </w:tcPr>
          <w:p>
            <w:pPr>
              <w:spacing w:before="0" w:after="0" w:line="252" w:lineRule="auto"/>
              <w:jc w:val="left"/>
            </w:pPr>
            <w:r>
              <w:rPr>
                <w:rFonts w:ascii="Calibri" w:hAnsi="Calibri"/>
                <w:b w:val="0"/>
                <w:color w:val="202124"/>
                <w:sz w:val="18"/>
              </w:rPr>
              <w:t>Technical checks and DRAW / risk controls</w:t>
            </w:r>
          </w:p>
        </w:tc>
        <w:tc>
          <w:tcPr>
            <w:tcW w:type="dxa" w:w="2400"/>
            <w:shd w:fill="FAFBFC"/>
          </w:tcPr>
          <w:p>
            <w:pPr>
              <w:spacing w:before="0" w:after="0" w:line="252" w:lineRule="auto"/>
              <w:jc w:val="left"/>
            </w:pPr>
            <w:r>
              <w:rPr>
                <w:rFonts w:ascii="Calibri" w:hAnsi="Calibri"/>
                <w:b w:val="0"/>
                <w:color w:val="202124"/>
                <w:sz w:val="18"/>
              </w:rPr>
              <w:t>Supports risk acceptance</w:t>
            </w:r>
          </w:p>
        </w:tc>
      </w:tr>
    </w:tbl>
    <w:p>
      <w:pPr>
        <w:spacing w:after="20"/>
      </w:pPr>
    </w:p>
    <w:p>
      <w:pPr>
        <w:pStyle w:val="Heading2"/>
        <w:keepNext/>
      </w:pPr>
      <w:r>
        <w:t>Recommended learning-success standard</w:t>
      </w:r>
    </w:p>
    <w:p>
      <w:pPr>
        <w:numPr>
          <w:ilvl w:val="0"/>
          <w:numId w:val="10"/>
        </w:numPr>
        <w:spacing w:after="120" w:line="264" w:lineRule="auto"/>
      </w:pPr>
      <w:r>
        <w:rPr>
          <w:rFonts w:ascii="Calibri" w:hAnsi="Calibri"/>
          <w:color w:val="202124"/>
          <w:sz w:val="22"/>
        </w:rPr>
        <w:t>A participant can describe the security or operational concept in their own words.</w:t>
      </w:r>
    </w:p>
    <w:p>
      <w:pPr>
        <w:numPr>
          <w:ilvl w:val="0"/>
          <w:numId w:val="10"/>
        </w:numPr>
        <w:spacing w:after="120" w:line="264" w:lineRule="auto"/>
      </w:pPr>
      <w:r>
        <w:rPr>
          <w:rFonts w:ascii="Calibri" w:hAnsi="Calibri"/>
          <w:color w:val="202124"/>
          <w:sz w:val="22"/>
        </w:rPr>
        <w:t>A participant can choose the relevant tool or inspection method without receiving the complete solution.</w:t>
      </w:r>
    </w:p>
    <w:p>
      <w:pPr>
        <w:numPr>
          <w:ilvl w:val="0"/>
          <w:numId w:val="10"/>
        </w:numPr>
        <w:spacing w:after="120" w:line="264" w:lineRule="auto"/>
      </w:pPr>
      <w:r>
        <w:rPr>
          <w:rFonts w:ascii="Calibri" w:hAnsi="Calibri"/>
          <w:color w:val="202124"/>
          <w:sz w:val="22"/>
        </w:rPr>
        <w:t>A participant can explain what evidence confirmed the answer or vulnerability.</w:t>
      </w:r>
    </w:p>
    <w:p>
      <w:pPr>
        <w:numPr>
          <w:ilvl w:val="0"/>
          <w:numId w:val="10"/>
        </w:numPr>
        <w:spacing w:after="120" w:line="264" w:lineRule="auto"/>
      </w:pPr>
      <w:r>
        <w:rPr>
          <w:rFonts w:ascii="Calibri" w:hAnsi="Calibri"/>
          <w:color w:val="202124"/>
          <w:sz w:val="22"/>
        </w:rPr>
        <w:t>A participant can state one defensive or operational lesson that transfers beyond the puzzle.</w:t>
      </w:r>
    </w:p>
    <w:p>
      <w:pPr>
        <w:pStyle w:val="Heading2"/>
        <w:keepNext/>
      </w:pPr>
      <w:r>
        <w:t>Known content and planning limitations</w:t>
      </w:r>
    </w:p>
    <w:p>
      <w:pPr>
        <w:numPr>
          <w:ilvl w:val="0"/>
          <w:numId w:val="10"/>
        </w:numPr>
        <w:spacing w:after="120" w:line="264" w:lineRule="auto"/>
      </w:pPr>
      <w:r>
        <w:rPr>
          <w:rFonts w:ascii="Calibri" w:hAnsi="Calibri"/>
          <w:color w:val="202124"/>
          <w:sz w:val="22"/>
        </w:rPr>
        <w:t>CSD/CNO track alignment is a proposed assumption and must be confirmed.</w:t>
      </w:r>
    </w:p>
    <w:p>
      <w:pPr>
        <w:numPr>
          <w:ilvl w:val="0"/>
          <w:numId w:val="10"/>
        </w:numPr>
        <w:spacing w:after="120" w:line="264" w:lineRule="auto"/>
      </w:pPr>
      <w:r>
        <w:rPr>
          <w:rFonts w:ascii="Calibri" w:hAnsi="Calibri"/>
          <w:color w:val="202124"/>
          <w:sz w:val="22"/>
        </w:rPr>
        <w:t>Per-level duration data is not yet available; rehearsal timing must be recorded before final event scheduling.</w:t>
      </w:r>
    </w:p>
    <w:p>
      <w:pPr>
        <w:numPr>
          <w:ilvl w:val="0"/>
          <w:numId w:val="10"/>
        </w:numPr>
        <w:spacing w:after="120" w:line="264" w:lineRule="auto"/>
      </w:pPr>
      <w:r>
        <w:rPr>
          <w:rFonts w:ascii="Calibri" w:hAnsi="Calibri"/>
          <w:color w:val="202124"/>
          <w:sz w:val="22"/>
        </w:rPr>
        <w:t>Challenge prerequisites are sequential by design but are not technically enforced in CTFd.</w:t>
      </w:r>
    </w:p>
    <w:p>
      <w:pPr>
        <w:numPr>
          <w:ilvl w:val="0"/>
          <w:numId w:val="10"/>
        </w:numPr>
        <w:spacing w:after="120" w:line="264" w:lineRule="auto"/>
      </w:pPr>
      <w:r>
        <w:rPr>
          <w:rFonts w:ascii="Calibri" w:hAnsi="Calibri"/>
          <w:color w:val="202124"/>
          <w:sz w:val="22"/>
        </w:rPr>
        <w:t>Krypton 0 is a self-contained scored encoding exercise with a static answer by design; treat this as an accepted instructional exception or redesign it before a high-collusion event.</w:t>
      </w:r>
    </w:p>
    <w:p>
      <w:pPr>
        <w:numPr>
          <w:ilvl w:val="0"/>
          <w:numId w:val="10"/>
        </w:numPr>
        <w:spacing w:after="120" w:line="264" w:lineRule="auto"/>
      </w:pPr>
      <w:r>
        <w:rPr>
          <w:rFonts w:ascii="Calibri" w:hAnsi="Calibri"/>
          <w:color w:val="202124"/>
          <w:sz w:val="22"/>
        </w:rPr>
        <w:t>Natas participants should use the noVNC attacker workstation; do not make attacker SSH credentials a rehearsal dependency unless that access path is separately validated.</w:t>
      </w:r>
    </w:p>
    <w:p>
      <w:pPr>
        <w:numPr>
          <w:ilvl w:val="0"/>
          <w:numId w:val="10"/>
        </w:numPr>
        <w:spacing w:after="120" w:line="264" w:lineRule="auto"/>
      </w:pPr>
      <w:r>
        <w:rPr>
          <w:rFonts w:ascii="Calibri" w:hAnsi="Calibri"/>
          <w:color w:val="202124"/>
          <w:sz w:val="22"/>
        </w:rPr>
        <w:t>A complete catalog import and live launch check is required on the actual release candidate before the event is declared ready.</w:t>
      </w:r>
    </w:p>
    <w:p>
      <w:pPr>
        <w:pStyle w:val="Heading2"/>
        <w:keepNext/>
      </w:pPr>
      <w:r>
        <w:t>Readiness status format</w:t>
      </w:r>
    </w:p>
    <w:p>
      <w:pPr>
        <w:spacing w:after="120" w:line="264" w:lineRule="auto"/>
      </w:pPr>
      <w:r>
        <w:rPr>
          <w:rFonts w:ascii="Calibri" w:hAnsi="Calibri"/>
          <w:i w:val="0"/>
          <w:color w:val="202124"/>
          <w:sz w:val="22"/>
        </w:rPr>
        <w:t>Report each category as GO, GO WITH CORRECTIONS, or NO-GO: content, platform, venue/network, personnel, equipment, risk controls, participant instructions, and briefing readiness. Every correction must have an owner and suspense.</w:t>
      </w:r>
    </w:p>
    <w:p>
      <w:r>
        <w:br w:type="page"/>
      </w:r>
    </w:p>
    <w:p>
      <w:pPr>
        <w:pStyle w:val="Heading1"/>
        <w:keepNext/>
      </w:pPr>
      <w:r>
        <w:t>Appendix A - Presenter preparation prompts</w:t>
      </w:r>
    </w:p>
    <w:p>
      <w:pPr>
        <w:pStyle w:val="Heading2"/>
        <w:keepNext/>
      </w:pPr>
      <w:r>
        <w:t>CSD presenter</w:t>
      </w:r>
    </w:p>
    <w:p>
      <w:pPr>
        <w:numPr>
          <w:ilvl w:val="0"/>
          <w:numId w:val="10"/>
        </w:numPr>
        <w:spacing w:after="120" w:line="264" w:lineRule="auto"/>
      </w:pPr>
      <w:r>
        <w:rPr>
          <w:rFonts w:ascii="Calibri" w:hAnsi="Calibri"/>
          <w:color w:val="202124"/>
          <w:sz w:val="22"/>
        </w:rPr>
        <w:t>Which three learning objectives best match the unit's intended CSD audience?</w:t>
      </w:r>
    </w:p>
    <w:p>
      <w:pPr>
        <w:numPr>
          <w:ilvl w:val="0"/>
          <w:numId w:val="10"/>
        </w:numPr>
        <w:spacing w:after="120" w:line="264" w:lineRule="auto"/>
      </w:pPr>
      <w:r>
        <w:rPr>
          <w:rFonts w:ascii="Calibri" w:hAnsi="Calibri"/>
          <w:color w:val="202124"/>
          <w:sz w:val="22"/>
        </w:rPr>
        <w:t>Which representative level demonstrates each objective without turning the brief into a full solution walkthrough?</w:t>
      </w:r>
    </w:p>
    <w:p>
      <w:pPr>
        <w:numPr>
          <w:ilvl w:val="0"/>
          <w:numId w:val="10"/>
        </w:numPr>
        <w:spacing w:after="120" w:line="264" w:lineRule="auto"/>
      </w:pPr>
      <w:r>
        <w:rPr>
          <w:rFonts w:ascii="Calibri" w:hAnsi="Calibri"/>
          <w:color w:val="202124"/>
          <w:sz w:val="22"/>
        </w:rPr>
        <w:t>What participant behavior proves the objective was learned?</w:t>
      </w:r>
    </w:p>
    <w:p>
      <w:pPr>
        <w:numPr>
          <w:ilvl w:val="0"/>
          <w:numId w:val="10"/>
        </w:numPr>
        <w:spacing w:after="120" w:line="264" w:lineRule="auto"/>
      </w:pPr>
      <w:r>
        <w:rPr>
          <w:rFonts w:ascii="Calibri" w:hAnsi="Calibri"/>
          <w:color w:val="202124"/>
          <w:sz w:val="22"/>
        </w:rPr>
        <w:t>What equipment, access, or facilitator support is essential for the selected demonstration?</w:t>
      </w:r>
    </w:p>
    <w:p>
      <w:pPr>
        <w:pStyle w:val="Heading2"/>
        <w:keepNext/>
      </w:pPr>
      <w:r>
        <w:t>CNO presenter</w:t>
      </w:r>
    </w:p>
    <w:p>
      <w:pPr>
        <w:numPr>
          <w:ilvl w:val="0"/>
          <w:numId w:val="10"/>
        </w:numPr>
        <w:spacing w:after="120" w:line="264" w:lineRule="auto"/>
      </w:pPr>
      <w:r>
        <w:rPr>
          <w:rFonts w:ascii="Calibri" w:hAnsi="Calibri"/>
          <w:color w:val="202124"/>
          <w:sz w:val="22"/>
        </w:rPr>
        <w:t>Which three Natas objectives best match the intended CNO audience?</w:t>
      </w:r>
    </w:p>
    <w:p>
      <w:pPr>
        <w:numPr>
          <w:ilvl w:val="0"/>
          <w:numId w:val="10"/>
        </w:numPr>
        <w:spacing w:after="120" w:line="264" w:lineRule="auto"/>
      </w:pPr>
      <w:r>
        <w:rPr>
          <w:rFonts w:ascii="Calibri" w:hAnsi="Calibri"/>
          <w:color w:val="202124"/>
          <w:sz w:val="22"/>
        </w:rPr>
        <w:t>How will the presenter explain the vulnerable behavior and the defensive lesson together?</w:t>
      </w:r>
    </w:p>
    <w:p>
      <w:pPr>
        <w:numPr>
          <w:ilvl w:val="0"/>
          <w:numId w:val="10"/>
        </w:numPr>
        <w:spacing w:after="120" w:line="264" w:lineRule="auto"/>
      </w:pPr>
      <w:r>
        <w:rPr>
          <w:rFonts w:ascii="Calibri" w:hAnsi="Calibri"/>
          <w:color w:val="202124"/>
          <w:sz w:val="22"/>
        </w:rPr>
        <w:t>Which sanitized demonstration can be completed reliably through noVNC in the briefing window?</w:t>
      </w:r>
    </w:p>
    <w:p>
      <w:pPr>
        <w:numPr>
          <w:ilvl w:val="0"/>
          <w:numId w:val="10"/>
        </w:numPr>
        <w:spacing w:after="120" w:line="264" w:lineRule="auto"/>
      </w:pPr>
      <w:r>
        <w:rPr>
          <w:rFonts w:ascii="Calibri" w:hAnsi="Calibri"/>
          <w:color w:val="202124"/>
          <w:sz w:val="22"/>
        </w:rPr>
        <w:t>What venue network or display limitation could prevent the attacker-workstation demonstration?</w:t>
      </w:r>
    </w:p>
    <w:p>
      <w:pPr>
        <w:pStyle w:val="Heading2"/>
        <w:keepNext/>
      </w:pPr>
      <w:r>
        <w:t>Technical operator</w:t>
      </w:r>
    </w:p>
    <w:p>
      <w:pPr>
        <w:numPr>
          <w:ilvl w:val="0"/>
          <w:numId w:val="10"/>
        </w:numPr>
        <w:spacing w:after="120" w:line="264" w:lineRule="auto"/>
      </w:pPr>
      <w:r>
        <w:rPr>
          <w:rFonts w:ascii="Calibri" w:hAnsi="Calibri"/>
          <w:color w:val="202124"/>
          <w:sz w:val="22"/>
        </w:rPr>
        <w:t>Can all 59 challenges be accounted for, and do the track counts match 35 / 8 / 16?</w:t>
      </w:r>
    </w:p>
    <w:p>
      <w:pPr>
        <w:numPr>
          <w:ilvl w:val="0"/>
          <w:numId w:val="10"/>
        </w:numPr>
        <w:spacing w:after="120" w:line="264" w:lineRule="auto"/>
      </w:pPr>
      <w:r>
        <w:rPr>
          <w:rFonts w:ascii="Calibri" w:hAnsi="Calibri"/>
          <w:color w:val="202124"/>
          <w:sz w:val="22"/>
        </w:rPr>
        <w:t>Can one real environment per track launch and return usable access information?</w:t>
      </w:r>
    </w:p>
    <w:p>
      <w:pPr>
        <w:numPr>
          <w:ilvl w:val="0"/>
          <w:numId w:val="10"/>
        </w:numPr>
        <w:spacing w:after="120" w:line="264" w:lineRule="auto"/>
      </w:pPr>
      <w:r>
        <w:rPr>
          <w:rFonts w:ascii="Calibri" w:hAnsi="Calibri"/>
          <w:color w:val="202124"/>
          <w:sz w:val="22"/>
        </w:rPr>
        <w:t>Are staged track controls, scoreboard visibility, hint behavior, reboot/relaunch, and cleanup understood?</w:t>
      </w:r>
    </w:p>
    <w:p>
      <w:pPr>
        <w:numPr>
          <w:ilvl w:val="0"/>
          <w:numId w:val="10"/>
        </w:numPr>
        <w:spacing w:after="120" w:line="264" w:lineRule="auto"/>
      </w:pPr>
      <w:r>
        <w:rPr>
          <w:rFonts w:ascii="Calibri" w:hAnsi="Calibri"/>
          <w:color w:val="202124"/>
          <w:sz w:val="22"/>
        </w:rPr>
        <w:t>Is there an offline, sanitized fallback for the BC brief?</w:t>
      </w:r>
    </w:p>
    <w:p>
      <w:pPr>
        <w:pStyle w:val="Heading1"/>
        <w:keepNext/>
      </w:pPr>
      <w:r>
        <w:t>Appendix B - Repository sources reviewed</w:t>
      </w:r>
    </w:p>
    <w:p>
      <w:pPr>
        <w:spacing w:after="120" w:line="264" w:lineRule="auto"/>
      </w:pPr>
      <w:r>
        <w:rPr>
          <w:rFonts w:ascii="Calibri" w:hAnsi="Calibri"/>
          <w:i w:val="0"/>
          <w:color w:val="202124"/>
          <w:sz w:val="22"/>
        </w:rPr>
        <w:t>This guide was derived from the existing CEI-Labs-Wargames repository content available on 15 July 2026. Primary source documents:</w:t>
      </w:r>
    </w:p>
    <w:p>
      <w:pPr>
        <w:numPr>
          <w:ilvl w:val="0"/>
          <w:numId w:val="10"/>
        </w:numPr>
        <w:spacing w:after="120" w:line="264" w:lineRule="auto"/>
      </w:pPr>
      <w:r>
        <w:rPr>
          <w:rFonts w:ascii="Calibri" w:hAnsi="Calibri"/>
          <w:color w:val="202124"/>
          <w:sz w:val="22"/>
        </w:rPr>
        <w:t>docs/learning-objectives.md and the Bandit, Krypton, and Natas learning-objective inventories</w:t>
      </w:r>
    </w:p>
    <w:p>
      <w:pPr>
        <w:numPr>
          <w:ilvl w:val="0"/>
          <w:numId w:val="10"/>
        </w:numPr>
        <w:spacing w:after="120" w:line="264" w:lineRule="auto"/>
      </w:pPr>
      <w:r>
        <w:rPr>
          <w:rFonts w:ascii="Calibri" w:hAnsi="Calibri"/>
          <w:color w:val="202124"/>
          <w:sz w:val="22"/>
        </w:rPr>
        <w:t>docs/challenge-inventory.md</w:t>
      </w:r>
    </w:p>
    <w:p>
      <w:pPr>
        <w:numPr>
          <w:ilvl w:val="0"/>
          <w:numId w:val="10"/>
        </w:numPr>
        <w:spacing w:after="120" w:line="264" w:lineRule="auto"/>
      </w:pPr>
      <w:r>
        <w:rPr>
          <w:rFonts w:ascii="Calibri" w:hAnsi="Calibri"/>
          <w:color w:val="202124"/>
          <w:sz w:val="22"/>
        </w:rPr>
        <w:t>docs/facilitation-runbook.md</w:t>
      </w:r>
    </w:p>
    <w:p>
      <w:pPr>
        <w:numPr>
          <w:ilvl w:val="0"/>
          <w:numId w:val="10"/>
        </w:numPr>
        <w:spacing w:after="120" w:line="264" w:lineRule="auto"/>
      </w:pPr>
      <w:r>
        <w:rPr>
          <w:rFonts w:ascii="Calibri" w:hAnsi="Calibri"/>
          <w:color w:val="202124"/>
          <w:sz w:val="22"/>
        </w:rPr>
        <w:t>docs/participant-quickstart.md</w:t>
      </w:r>
    </w:p>
    <w:p>
      <w:pPr>
        <w:numPr>
          <w:ilvl w:val="0"/>
          <w:numId w:val="10"/>
        </w:numPr>
        <w:spacing w:after="120" w:line="264" w:lineRule="auto"/>
      </w:pPr>
      <w:r>
        <w:rPr>
          <w:rFonts w:ascii="Calibri" w:hAnsi="Calibri"/>
          <w:color w:val="202124"/>
          <w:sz w:val="22"/>
        </w:rPr>
        <w:t>docs/staggered-game-stages.md</w:t>
      </w:r>
    </w:p>
    <w:p>
      <w:pPr>
        <w:numPr>
          <w:ilvl w:val="0"/>
          <w:numId w:val="10"/>
        </w:numPr>
        <w:spacing w:after="120" w:line="264" w:lineRule="auto"/>
      </w:pPr>
      <w:r>
        <w:rPr>
          <w:rFonts w:ascii="Calibri" w:hAnsi="Calibri"/>
          <w:color w:val="202124"/>
          <w:sz w:val="22"/>
        </w:rPr>
        <w:t>docs/instructor-cheatsheet.md and track-specific facilitator cheat sheets</w:t>
      </w:r>
    </w:p>
    <w:p>
      <w:pPr>
        <w:spacing w:after="120" w:line="264" w:lineRule="auto"/>
      </w:pPr>
      <w:r>
        <w:rPr>
          <w:rFonts w:ascii="Calibri" w:hAnsi="Calibri"/>
          <w:i w:val="0"/>
          <w:color w:val="202124"/>
          <w:sz w:val="22"/>
        </w:rPr>
        <w:t>Planning source: the provided coordination message directing a 16 July 1600 rehearsal, a 23 July BC briefing, named CSD/CNO representatives, coordination through SGT Tadios, location scheduling, DRAW completion when necessary, and equipment requests.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7"/>
      </w:rPr>
      <w:t>CEI LABS WARGAMES | REHEARSAL &amp; BC BRIEFING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pPr>
    </w:lvl>
  </w:abstractNum>
  <w:num w:numId="10">
    <w:abstractNumId w:val="9"/>
  </w:num>
  <w:abstractNum w:abstractNumId="10">
    <w:multiLevelType w:val="singleLevel"/>
    <w:lvl w:ilvl="0">
      <w:start w:val="1"/>
      <w:numFmt w:val="decimal"/>
      <w:lvlText w:val="%1."/>
      <w:suff w:val="tab"/>
      <w:pPr>
        <w:tabs>
          <w:tab w:val="num" w:pos="720"/>
        </w:tabs>
        <w:ind w:left="72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CEI Labs Wargames Rehearsal and BC Briefing Guide</dc:title>
  <dc:subject>CSD and CNO CTF learning objectives and event preparation</dc:subject>
  <dc:creator>CEI Labs Planning Team</dc:creator>
  <cp:keywords>CEI Labs, CTF, Wargames, CSD, CNO, rehearsal, learning objectives</cp:keywords>
  <dc:description>generated by python-docx</dc:description>
  <cp:lastModifiedBy/>
  <cp:revision>1</cp:revision>
  <dcterms:created xsi:type="dcterms:W3CDTF">2013-12-23T23:15:00Z</dcterms:created>
  <dcterms:modified xsi:type="dcterms:W3CDTF">2013-12-23T23:15:00Z</dcterms:modified>
  <cp:category/>
</cp:coreProperties>
</file>