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hint="eastAsia" w:ascii="Times New Roman" w:hAnsi="Times New Roman"/>
          <w:spacing w:val="20"/>
        </w:rPr>
        <w:t>QG工作室暑期实习生周记</w:t>
      </w:r>
    </w:p>
    <w:tbl>
      <w:tblPr>
        <w:tblStyle w:val="7"/>
        <w:tblW w:w="5000" w:type="pct"/>
        <w:tblInd w:w="0" w:type="dxa"/>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Pr>
          <w:p>
            <w:pPr>
              <w:pStyle w:val="6"/>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ascii="微软雅黑" w:hAnsi="微软雅黑" w:eastAsia="微软雅黑"/>
                <w:sz w:val="28"/>
                <w:lang w:val="zh-CN"/>
              </w:rPr>
              <w:t>：</w:t>
            </w:r>
            <w:r>
              <w:rPr>
                <w:rFonts w:ascii="微软雅黑" w:hAnsi="微软雅黑" w:eastAsia="微软雅黑"/>
                <w:sz w:val="28"/>
              </w:rPr>
              <w:t xml:space="preserve"> </w:t>
            </w:r>
            <w:r>
              <w:rPr>
                <w:rFonts w:hint="eastAsia" w:ascii="微软雅黑" w:hAnsi="微软雅黑" w:eastAsia="微软雅黑"/>
                <w:sz w:val="28"/>
                <w:lang w:val="en-US" w:eastAsia="zh-CN"/>
              </w:rPr>
              <w:t>蒋卓然</w:t>
            </w:r>
          </w:p>
        </w:tc>
        <w:tc>
          <w:tcPr>
            <w:tcW w:w="1272" w:type="pct"/>
          </w:tcPr>
          <w:p>
            <w:pPr>
              <w:pStyle w:val="6"/>
              <w:ind w:left="113" w:leftChars="54"/>
              <w:rPr>
                <w:rFonts w:ascii="微软雅黑" w:hAnsi="微软雅黑" w:eastAsia="微软雅黑"/>
                <w:sz w:val="28"/>
              </w:rPr>
            </w:pPr>
            <w:r>
              <w:rPr>
                <w:rFonts w:hint="eastAsia" w:ascii="微软雅黑" w:hAnsi="微软雅黑" w:eastAsia="微软雅黑"/>
                <w:sz w:val="28"/>
                <w:lang w:val="zh-CN"/>
              </w:rPr>
              <w:t>组别</w:t>
            </w:r>
            <w:r>
              <w:rPr>
                <w:rFonts w:ascii="微软雅黑" w:hAnsi="微软雅黑" w:eastAsia="微软雅黑"/>
                <w:sz w:val="28"/>
                <w:lang w:val="zh-CN"/>
              </w:rPr>
              <w:t>：前端</w:t>
            </w:r>
          </w:p>
        </w:tc>
        <w:tc>
          <w:tcPr>
            <w:tcW w:w="1101" w:type="pct"/>
          </w:tcPr>
          <w:p>
            <w:pPr>
              <w:pStyle w:val="6"/>
              <w:rPr>
                <w:rFonts w:ascii="微软雅黑" w:hAnsi="微软雅黑" w:eastAsia="微软雅黑"/>
                <w:sz w:val="28"/>
              </w:rPr>
            </w:pPr>
            <w:r>
              <w:rPr>
                <w:rFonts w:hint="eastAsia" w:ascii="微软雅黑" w:hAnsi="微软雅黑" w:eastAsia="微软雅黑"/>
                <w:sz w:val="28"/>
                <w:lang w:val="zh-CN"/>
              </w:rPr>
              <w:t>年级</w:t>
            </w:r>
            <w:r>
              <w:rPr>
                <w:rFonts w:ascii="微软雅黑" w:hAnsi="微软雅黑" w:eastAsia="微软雅黑"/>
                <w:sz w:val="28"/>
                <w:lang w:val="zh-CN"/>
              </w:rPr>
              <w:t>：2022级</w:t>
            </w:r>
          </w:p>
        </w:tc>
        <w:tc>
          <w:tcPr>
            <w:tcW w:w="1440" w:type="pct"/>
          </w:tcPr>
          <w:p>
            <w:pPr>
              <w:pStyle w:val="6"/>
              <w:rPr>
                <w:rFonts w:ascii="微软雅黑" w:hAnsi="微软雅黑" w:eastAsia="微软雅黑"/>
                <w:sz w:val="28"/>
                <w:lang w:val="zh-CN"/>
              </w:rPr>
            </w:pPr>
            <w:r>
              <w:rPr>
                <w:rFonts w:hint="eastAsia" w:ascii="微软雅黑" w:hAnsi="微软雅黑" w:eastAsia="微软雅黑"/>
                <w:sz w:val="28"/>
                <w:lang w:val="zh-CN"/>
              </w:rPr>
              <w:t>周次：第一周</w:t>
            </w:r>
          </w:p>
        </w:tc>
      </w:tr>
    </w:tbl>
    <w:p>
      <w:pPr>
        <w:rPr>
          <w:rFonts w:ascii="微软雅黑" w:hAnsi="微软雅黑" w:eastAsia="微软雅黑"/>
          <w:sz w:val="10"/>
          <w:szCs w:val="10"/>
        </w:rPr>
      </w:pPr>
    </w:p>
    <w:tbl>
      <w:tblPr>
        <w:tblStyle w:val="21"/>
        <w:tblW w:w="9918"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271"/>
        <w:gridCol w:w="8647"/>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57" w:hRule="atLeast"/>
        </w:trPr>
        <w:tc>
          <w:tcPr>
            <w:tcW w:w="9918" w:type="dxa"/>
            <w:gridSpan w:val="2"/>
            <w:tcBorders>
              <w:top w:val="single" w:color="ED7D31" w:themeColor="accent2" w:sz="4" w:space="0"/>
              <w:left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第一周周记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383" w:hRule="atLeast"/>
        </w:trPr>
        <w:tc>
          <w:tcPr>
            <w:tcW w:w="1271" w:type="dxa"/>
            <w:shd w:val="clear" w:color="auto" w:fill="FBE4D5" w:themeFill="accent2" w:themeFillTint="33"/>
            <w:vAlign w:val="center"/>
          </w:tcPr>
          <w:p>
            <w:pPr>
              <w:jc w:val="center"/>
              <w:rPr>
                <w:b w:val="0"/>
                <w:bCs w:val="0"/>
              </w:rPr>
            </w:pPr>
            <w:r>
              <w:rPr>
                <w:rFonts w:hint="eastAsia"/>
                <w:b/>
                <w:bCs/>
              </w:rPr>
              <w:t>生活随记</w:t>
            </w:r>
          </w:p>
        </w:tc>
        <w:tc>
          <w:tcPr>
            <w:tcW w:w="8647" w:type="dxa"/>
            <w:shd w:val="clear" w:color="auto" w:fill="FBE4D5" w:themeFill="accent2" w:themeFillTint="33"/>
          </w:tcPr>
          <w:p>
            <w:pPr>
              <w:rPr>
                <w:rFonts w:hint="default" w:eastAsiaTheme="minorEastAsia"/>
                <w:lang w:val="en-US" w:eastAsia="zh-CN"/>
              </w:rPr>
            </w:pPr>
            <w:r>
              <w:rPr>
                <w:rFonts w:hint="eastAsia"/>
                <w:lang w:val="en-US" w:eastAsia="zh-CN"/>
              </w:rPr>
              <w:t>本周是假期的第一周，工作室的工位虽然远，但是是真的香，就是门口的台阶总是能让我猝不及防被绊几下，与此同时也开始准备相关设备与书籍。如谢光强老师说的那样，从一颗螺丝钉做起，努力让师兄成为背景板，废话不多说，Every minute counts.</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59" w:hRule="atLeast"/>
        </w:trPr>
        <w:tc>
          <w:tcPr>
            <w:tcW w:w="1271" w:type="dxa"/>
            <w:vAlign w:val="center"/>
          </w:tcPr>
          <w:p>
            <w:pPr>
              <w:jc w:val="center"/>
              <w:rPr>
                <w:b w:val="0"/>
                <w:bCs w:val="0"/>
              </w:rPr>
            </w:pPr>
            <w:r>
              <w:rPr>
                <w:rFonts w:hint="eastAsia"/>
                <w:b/>
                <w:bCs/>
              </w:rPr>
              <w:t>学习</w:t>
            </w:r>
          </w:p>
          <w:p>
            <w:pPr>
              <w:jc w:val="center"/>
              <w:rPr>
                <w:b w:val="0"/>
                <w:bCs w:val="0"/>
              </w:rPr>
            </w:pPr>
            <w:r>
              <w:rPr>
                <w:rFonts w:hint="eastAsia"/>
                <w:b/>
                <w:bCs/>
              </w:rPr>
              <w:t>开发</w:t>
            </w:r>
          </w:p>
          <w:p>
            <w:pPr>
              <w:jc w:val="center"/>
              <w:rPr>
                <w:b w:val="0"/>
                <w:bCs w:val="0"/>
              </w:rPr>
            </w:pPr>
            <w:r>
              <w:rPr>
                <w:rFonts w:hint="eastAsia"/>
                <w:b/>
                <w:bCs/>
              </w:rPr>
              <w:t>比赛</w:t>
            </w:r>
          </w:p>
          <w:p>
            <w:pPr>
              <w:jc w:val="center"/>
              <w:rPr>
                <w:b w:val="0"/>
                <w:bCs w:val="0"/>
              </w:rPr>
            </w:pPr>
            <w:r>
              <w:rPr>
                <w:rFonts w:hint="eastAsia"/>
                <w:b/>
                <w:bCs/>
              </w:rPr>
              <w:t>情况</w:t>
            </w:r>
          </w:p>
        </w:tc>
        <w:tc>
          <w:tcPr>
            <w:tcW w:w="8647" w:type="dxa"/>
          </w:tcPr>
          <w:p>
            <w:pPr>
              <w:rPr>
                <w:rFonts w:hint="eastAsia"/>
                <w:lang w:val="en-US" w:eastAsia="zh-CN"/>
              </w:rPr>
            </w:pPr>
            <w:r>
              <w:rPr>
                <w:rFonts w:hint="eastAsia"/>
                <w:lang w:val="en-US" w:eastAsia="zh-CN"/>
              </w:rPr>
              <w:t>在前端学习中：</w:t>
            </w:r>
          </w:p>
          <w:p>
            <w:pPr>
              <w:ind w:firstLine="420" w:firstLineChars="200"/>
              <w:rPr>
                <w:rFonts w:hint="eastAsia"/>
                <w:lang w:val="en-US" w:eastAsia="zh-CN"/>
              </w:rPr>
            </w:pPr>
            <w:r>
              <w:rPr>
                <w:rFonts w:hint="eastAsia"/>
                <w:lang w:val="en-US" w:eastAsia="zh-CN"/>
              </w:rPr>
              <w:t>本周着重复习了JavaScript的语法基础和特点逻辑，复盘了语言中的常用方法与实战技巧，重新阅览了以前的学习笔记与困难经验，准备开展新一轮的react框架学习，另外，对于之前曾做过的一些典型小项目也进行了总结，对于新发现的问题与领域进行扩展与思考。</w:t>
            </w:r>
          </w:p>
          <w:p>
            <w:pPr>
              <w:rPr>
                <w:rFonts w:hint="eastAsia"/>
                <w:lang w:val="en-US" w:eastAsia="zh-CN"/>
              </w:rPr>
            </w:pPr>
          </w:p>
          <w:p>
            <w:pPr>
              <w:rPr>
                <w:rFonts w:hint="default"/>
                <w:lang w:val="en-US" w:eastAsia="zh-CN"/>
              </w:rPr>
            </w:pPr>
            <w:r>
              <w:rPr>
                <w:rFonts w:hint="eastAsia"/>
                <w:lang w:val="en-US" w:eastAsia="zh-CN"/>
              </w:rPr>
              <w:t>在开发比赛中：</w:t>
            </w:r>
          </w:p>
          <w:p>
            <w:pPr>
              <w:ind w:firstLine="420" w:firstLineChars="200"/>
              <w:rPr>
                <w:rFonts w:hint="default"/>
                <w:lang w:val="en-US" w:eastAsia="zh-CN"/>
              </w:rPr>
            </w:pPr>
            <w:r>
              <w:rPr>
                <w:rFonts w:hint="eastAsia"/>
                <w:lang w:val="en-US" w:eastAsia="zh-CN"/>
              </w:rPr>
              <w:t>本周对于之前互联网上有关前端知识技能运用的相关比赛进行了了解与观察，搜集到了许多主办比赛的企业或部门在前端人才培养与录用方面的具体要求与发展路线，有利于未来对学习方向的确立与职业生涯的规划。</w:t>
            </w:r>
          </w:p>
          <w:p>
            <w:pPr>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963" w:hRule="atLeast"/>
        </w:trPr>
        <w:tc>
          <w:tcPr>
            <w:tcW w:w="1271" w:type="dxa"/>
            <w:shd w:val="clear" w:color="auto" w:fill="FBE4D5" w:themeFill="accent2" w:themeFillTint="33"/>
            <w:vAlign w:val="center"/>
          </w:tcPr>
          <w:p>
            <w:pPr>
              <w:jc w:val="center"/>
              <w:rPr>
                <w:b w:val="0"/>
                <w:bCs w:val="0"/>
              </w:rPr>
            </w:pPr>
            <w:r>
              <w:rPr>
                <w:rFonts w:hint="eastAsia"/>
                <w:b/>
                <w:bCs/>
              </w:rPr>
              <w:t>一周总结</w:t>
            </w:r>
          </w:p>
        </w:tc>
        <w:tc>
          <w:tcPr>
            <w:tcW w:w="8647" w:type="dxa"/>
            <w:shd w:val="clear" w:color="auto" w:fill="FBE4D5" w:themeFill="accent2" w:themeFillTint="33"/>
          </w:tcPr>
          <w:p>
            <w:pPr>
              <w:rPr>
                <w:rFonts w:hint="default" w:eastAsiaTheme="minorEastAsia"/>
                <w:lang w:val="en-US" w:eastAsia="zh-CN"/>
              </w:rPr>
            </w:pPr>
            <w:r>
              <w:rPr>
                <w:rFonts w:hint="eastAsia"/>
                <w:lang w:val="en-US" w:eastAsia="zh-CN"/>
              </w:rPr>
              <w:t>本周作为学习周，所要面临的学习压力还是足够的，既要在短时间内完成对以往基础知识的复习，也要花更多的时间完成训练营的学习与挑战，在整个过程中需要我们牢牢把握时间，把思维利益最大化，同时也要劳逸结合，适当放松疲劳紧绷的神经，以此将大脑的学习能力保持在稳定高水平状态。另外在开营仪式中，响亮的口号与自我介绍充分反映了大家满腔热血的激情，不仅增强了新一届团队的凝聚力，还伴随着老师与前辈们的昂扬斗志，无形之间，QG人的精神与梦想便薪火相传。</w:t>
            </w:r>
            <w:bookmarkStart w:id="0" w:name="_GoBack"/>
            <w:bookmarkEnd w:id="0"/>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544" w:hRule="atLeast"/>
        </w:trPr>
        <w:tc>
          <w:tcPr>
            <w:tcW w:w="1271" w:type="dxa"/>
            <w:vAlign w:val="center"/>
          </w:tcPr>
          <w:p>
            <w:pPr>
              <w:jc w:val="center"/>
              <w:rPr>
                <w:b w:val="0"/>
                <w:bCs w:val="0"/>
              </w:rPr>
            </w:pPr>
            <w:r>
              <w:rPr>
                <w:rFonts w:hint="eastAsia"/>
                <w:b/>
                <w:bCs/>
              </w:rPr>
              <w:t>存在</w:t>
            </w:r>
            <w:r>
              <w:rPr>
                <w:b/>
                <w:bCs/>
              </w:rPr>
              <w:t>问题</w:t>
            </w:r>
          </w:p>
          <w:p>
            <w:pPr>
              <w:jc w:val="center"/>
              <w:rPr>
                <w:b w:val="0"/>
                <w:bCs w:val="0"/>
              </w:rPr>
            </w:pPr>
            <w:r>
              <w:rPr>
                <w:rFonts w:hint="eastAsia"/>
                <w:b/>
                <w:bCs/>
              </w:rPr>
              <w:t>未来规划</w:t>
            </w:r>
          </w:p>
        </w:tc>
        <w:tc>
          <w:tcPr>
            <w:tcW w:w="8647" w:type="dxa"/>
          </w:tcPr>
          <w:p>
            <w:pPr>
              <w:pStyle w:val="22"/>
              <w:ind w:firstLine="0" w:firstLineChars="0"/>
              <w:rPr>
                <w:rFonts w:hint="eastAsia"/>
                <w:lang w:val="en-US" w:eastAsia="zh-CN"/>
              </w:rPr>
            </w:pPr>
            <w:r>
              <w:rPr>
                <w:rFonts w:hint="eastAsia"/>
                <w:lang w:val="en-US" w:eastAsia="zh-CN"/>
              </w:rPr>
              <w:t>存在问题：</w:t>
            </w:r>
          </w:p>
          <w:p>
            <w:pPr>
              <w:pStyle w:val="22"/>
              <w:ind w:firstLine="420" w:firstLineChars="200"/>
              <w:rPr>
                <w:rFonts w:hint="eastAsia"/>
                <w:lang w:val="en-US" w:eastAsia="zh-CN"/>
              </w:rPr>
            </w:pPr>
            <w:r>
              <w:rPr>
                <w:rFonts w:hint="eastAsia"/>
                <w:lang w:val="en-US" w:eastAsia="zh-CN"/>
              </w:rPr>
              <w:t>对于框架知识的分类管理与专业知识的精细化吸收还存在缺漏，框架体系与工程化开发的核心思想的思考还不太深入，对于计算机底层基础与网络通信的基础知识还十分薄弱。</w:t>
            </w:r>
          </w:p>
          <w:p>
            <w:pPr>
              <w:pStyle w:val="22"/>
              <w:ind w:firstLine="420" w:firstLineChars="200"/>
              <w:rPr>
                <w:rFonts w:hint="eastAsia"/>
                <w:lang w:val="en-US" w:eastAsia="zh-CN"/>
              </w:rPr>
            </w:pPr>
          </w:p>
          <w:p>
            <w:pPr>
              <w:pStyle w:val="22"/>
              <w:ind w:left="0" w:leftChars="0" w:firstLine="0" w:firstLineChars="0"/>
              <w:rPr>
                <w:rFonts w:hint="eastAsia"/>
                <w:lang w:val="en-US" w:eastAsia="zh-CN"/>
              </w:rPr>
            </w:pPr>
            <w:r>
              <w:rPr>
                <w:rFonts w:hint="eastAsia"/>
                <w:lang w:val="en-US" w:eastAsia="zh-CN"/>
              </w:rPr>
              <w:t>未来规划：</w:t>
            </w:r>
          </w:p>
          <w:p>
            <w:pPr>
              <w:pStyle w:val="22"/>
              <w:ind w:left="0" w:leftChars="0" w:firstLine="0" w:firstLineChars="0"/>
              <w:rPr>
                <w:rFonts w:hint="default"/>
                <w:lang w:val="en-US" w:eastAsia="zh-CN"/>
              </w:rPr>
            </w:pPr>
            <w:r>
              <w:rPr>
                <w:rFonts w:hint="eastAsia"/>
                <w:lang w:val="en-US" w:eastAsia="zh-CN"/>
              </w:rPr>
              <w:t xml:space="preserve">    开始进入react框架的学习，并对此框架的思想原理与高级组件的学习运用作进一步的系统化训练，准备应对工作室训练营的中期考核项目。</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269" w:hRule="atLeast"/>
        </w:trPr>
        <w:tc>
          <w:tcPr>
            <w:tcW w:w="1271" w:type="dxa"/>
            <w:shd w:val="clear" w:color="auto" w:fill="FBE4D5" w:themeFill="accent2" w:themeFillTint="33"/>
            <w:vAlign w:val="center"/>
          </w:tcPr>
          <w:p>
            <w:pPr>
              <w:jc w:val="center"/>
              <w:rPr>
                <w:b w:val="0"/>
                <w:bCs w:val="0"/>
              </w:rPr>
            </w:pPr>
            <w:r>
              <w:rPr>
                <w:rFonts w:hint="eastAsia"/>
                <w:b/>
                <w:bCs/>
              </w:rPr>
              <w:t>导师评价</w:t>
            </w:r>
          </w:p>
        </w:tc>
        <w:tc>
          <w:tcPr>
            <w:tcW w:w="8647" w:type="dxa"/>
            <w:shd w:val="clear" w:color="auto" w:fill="FBE4D5" w:themeFill="accent2" w:themeFillTint="33"/>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AxNDRkMzg4YzdjNDY4MDExZDMyNjBkNjAwODUzNzIifQ=="/>
  </w:docVars>
  <w:rsids>
    <w:rsidRoot w:val="00C65D27"/>
    <w:rsid w:val="00064A39"/>
    <w:rsid w:val="00070CD8"/>
    <w:rsid w:val="000A23EC"/>
    <w:rsid w:val="000C3927"/>
    <w:rsid w:val="0010159B"/>
    <w:rsid w:val="00114A66"/>
    <w:rsid w:val="00115890"/>
    <w:rsid w:val="00116072"/>
    <w:rsid w:val="00164A35"/>
    <w:rsid w:val="001665C5"/>
    <w:rsid w:val="00185F51"/>
    <w:rsid w:val="00187D34"/>
    <w:rsid w:val="001D2BBA"/>
    <w:rsid w:val="001D7FB7"/>
    <w:rsid w:val="00205876"/>
    <w:rsid w:val="002279DB"/>
    <w:rsid w:val="002326F1"/>
    <w:rsid w:val="00244BB4"/>
    <w:rsid w:val="00250CBA"/>
    <w:rsid w:val="00261D8B"/>
    <w:rsid w:val="002B2315"/>
    <w:rsid w:val="002C2FCE"/>
    <w:rsid w:val="003506BA"/>
    <w:rsid w:val="00351764"/>
    <w:rsid w:val="00372F07"/>
    <w:rsid w:val="00387FD2"/>
    <w:rsid w:val="003A4054"/>
    <w:rsid w:val="003A6015"/>
    <w:rsid w:val="00415854"/>
    <w:rsid w:val="00426E17"/>
    <w:rsid w:val="004446A0"/>
    <w:rsid w:val="00445B6C"/>
    <w:rsid w:val="00450FD2"/>
    <w:rsid w:val="0045102B"/>
    <w:rsid w:val="00466CBE"/>
    <w:rsid w:val="00471FD2"/>
    <w:rsid w:val="004C45AD"/>
    <w:rsid w:val="004F4138"/>
    <w:rsid w:val="0050131E"/>
    <w:rsid w:val="005421F2"/>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A4C02"/>
    <w:rsid w:val="007B00D6"/>
    <w:rsid w:val="007C2708"/>
    <w:rsid w:val="007E49E7"/>
    <w:rsid w:val="00800AEF"/>
    <w:rsid w:val="008142F1"/>
    <w:rsid w:val="00880289"/>
    <w:rsid w:val="00881169"/>
    <w:rsid w:val="00887C45"/>
    <w:rsid w:val="00897A6D"/>
    <w:rsid w:val="008D63AE"/>
    <w:rsid w:val="00906966"/>
    <w:rsid w:val="00912BCC"/>
    <w:rsid w:val="009A3084"/>
    <w:rsid w:val="009B1A6D"/>
    <w:rsid w:val="009C131B"/>
    <w:rsid w:val="009D2A3E"/>
    <w:rsid w:val="00A12FA6"/>
    <w:rsid w:val="00A2532C"/>
    <w:rsid w:val="00A662A5"/>
    <w:rsid w:val="00A76531"/>
    <w:rsid w:val="00AD67A0"/>
    <w:rsid w:val="00AD7ED3"/>
    <w:rsid w:val="00AE34F1"/>
    <w:rsid w:val="00B022A2"/>
    <w:rsid w:val="00B05CA3"/>
    <w:rsid w:val="00B10353"/>
    <w:rsid w:val="00B202D4"/>
    <w:rsid w:val="00B66305"/>
    <w:rsid w:val="00B73B0D"/>
    <w:rsid w:val="00BA2198"/>
    <w:rsid w:val="00BD5FC7"/>
    <w:rsid w:val="00C379E0"/>
    <w:rsid w:val="00C50D14"/>
    <w:rsid w:val="00C5705B"/>
    <w:rsid w:val="00C65D27"/>
    <w:rsid w:val="00C72BF5"/>
    <w:rsid w:val="00C85729"/>
    <w:rsid w:val="00C92E65"/>
    <w:rsid w:val="00CA4C52"/>
    <w:rsid w:val="00CA7848"/>
    <w:rsid w:val="00CC0AA9"/>
    <w:rsid w:val="00CC63B5"/>
    <w:rsid w:val="00CD4C86"/>
    <w:rsid w:val="00D66F83"/>
    <w:rsid w:val="00D74AB7"/>
    <w:rsid w:val="00D82794"/>
    <w:rsid w:val="00DA028A"/>
    <w:rsid w:val="00DA38EE"/>
    <w:rsid w:val="00E03F76"/>
    <w:rsid w:val="00E46AE7"/>
    <w:rsid w:val="00E517BE"/>
    <w:rsid w:val="00E75DEE"/>
    <w:rsid w:val="00E9567D"/>
    <w:rsid w:val="00ED5D37"/>
    <w:rsid w:val="00EE2744"/>
    <w:rsid w:val="00EE7247"/>
    <w:rsid w:val="00EF0C54"/>
    <w:rsid w:val="00F11ADD"/>
    <w:rsid w:val="00F351D2"/>
    <w:rsid w:val="00F35B2C"/>
    <w:rsid w:val="00F45571"/>
    <w:rsid w:val="00FA673D"/>
    <w:rsid w:val="00FB2812"/>
    <w:rsid w:val="00FB64CC"/>
    <w:rsid w:val="00FD516C"/>
    <w:rsid w:val="00FD62F7"/>
    <w:rsid w:val="00FE52EC"/>
    <w:rsid w:val="00FF672B"/>
    <w:rsid w:val="0E25387C"/>
    <w:rsid w:val="213078A3"/>
    <w:rsid w:val="30F5046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3"/>
    <w:semiHidden/>
    <w:unhideWhenUsed/>
    <w:uiPriority w:val="99"/>
    <w:rPr>
      <w:sz w:val="18"/>
      <w:szCs w:val="18"/>
    </w:rPr>
  </w:style>
  <w:style w:type="paragraph" w:styleId="4">
    <w:name w:val="footer"/>
    <w:basedOn w:val="1"/>
    <w:link w:val="19"/>
    <w:unhideWhenUsed/>
    <w:uiPriority w:val="99"/>
    <w:pPr>
      <w:tabs>
        <w:tab w:val="center" w:pos="4153"/>
        <w:tab w:val="right" w:pos="8306"/>
      </w:tabs>
      <w:snapToGrid w:val="0"/>
      <w:jc w:val="left"/>
    </w:pPr>
    <w:rPr>
      <w:sz w:val="18"/>
      <w:szCs w:val="18"/>
    </w:rPr>
  </w:style>
  <w:style w:type="paragraph" w:styleId="5">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20"/>
    <w:qFormat/>
    <w:uiPriority w:val="1"/>
    <w:pPr>
      <w:widowControl/>
      <w:spacing w:after="80"/>
      <w:contextualSpacing/>
      <w:jc w:val="left"/>
    </w:pPr>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uiPriority w:val="9"/>
    <w:rPr>
      <w:b/>
      <w:bCs/>
      <w:kern w:val="44"/>
      <w:sz w:val="44"/>
      <w:szCs w:val="44"/>
    </w:rPr>
  </w:style>
  <w:style w:type="table" w:customStyle="1" w:styleId="11">
    <w:name w:val="网格表 5 深色 - 着色 51"/>
    <w:basedOn w:val="7"/>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12">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13">
    <w:name w:val="网格表 1 浅色 - 着色 21"/>
    <w:basedOn w:val="7"/>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14">
    <w:name w:val="网格表 4 - 着色 51"/>
    <w:basedOn w:val="7"/>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5">
    <w:name w:val="网格表 5 深色 - 着色 61"/>
    <w:basedOn w:val="7"/>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16">
    <w:name w:val="网格表 6 彩色 - 着色 61"/>
    <w:basedOn w:val="7"/>
    <w:uiPriority w:val="51"/>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7">
    <w:name w:val="网格表 4 - 着色 61"/>
    <w:basedOn w:val="7"/>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8">
    <w:name w:val="页眉 字符"/>
    <w:basedOn w:val="9"/>
    <w:link w:val="5"/>
    <w:uiPriority w:val="99"/>
    <w:rPr>
      <w:sz w:val="18"/>
      <w:szCs w:val="18"/>
    </w:rPr>
  </w:style>
  <w:style w:type="character" w:customStyle="1" w:styleId="19">
    <w:name w:val="页脚 字符"/>
    <w:basedOn w:val="9"/>
    <w:link w:val="4"/>
    <w:uiPriority w:val="99"/>
    <w:rPr>
      <w:sz w:val="18"/>
      <w:szCs w:val="18"/>
    </w:rPr>
  </w:style>
  <w:style w:type="character" w:customStyle="1" w:styleId="20">
    <w:name w:val="标题 字符"/>
    <w:basedOn w:val="9"/>
    <w:link w:val="6"/>
    <w:uiPriority w:val="1"/>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customStyle="1" w:styleId="21">
    <w:name w:val="网格表 4 - 着色 21"/>
    <w:basedOn w:val="7"/>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22">
    <w:name w:val="List Paragraph"/>
    <w:basedOn w:val="1"/>
    <w:qFormat/>
    <w:uiPriority w:val="34"/>
    <w:pPr>
      <w:ind w:firstLine="420" w:firstLineChars="200"/>
    </w:pPr>
  </w:style>
  <w:style w:type="character" w:customStyle="1" w:styleId="23">
    <w:name w:val="批注框文本 字符"/>
    <w:basedOn w:val="9"/>
    <w:link w:val="3"/>
    <w:semiHidden/>
    <w:uiPriority w:val="99"/>
    <w:rPr>
      <w:sz w:val="18"/>
      <w:szCs w:val="18"/>
    </w:rPr>
  </w:style>
  <w:style w:type="paragraph" w:customStyle="1" w:styleId="24">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md-plain"/>
    <w:basedOn w:val="9"/>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1</Pages>
  <Words>670</Words>
  <Characters>706</Characters>
  <Lines>1</Lines>
  <Paragraphs>1</Paragraphs>
  <TotalTime>46</TotalTime>
  <ScaleCrop>false</ScaleCrop>
  <LinksUpToDate>false</LinksUpToDate>
  <CharactersWithSpaces>713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2022-07-10T07:08:00Z</dcterms:created>
  <dc:creator>黄映焜</dc:creator>
  <cp:lastModifiedBy>蒋卓然</cp:lastModifiedBy>
  <dcterms:modified xsi:type="dcterms:W3CDTF">2023-07-17T13:40:44Z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B241F05A4DF74B76BB51753FD8FA8404_12</vt:lpwstr>
  </property>
</Properties>
</file>