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w:t>
      </w:r>
      <w:proofErr w:type="gramStart"/>
      <w:r w:rsidRPr="00C839F2">
        <w:rPr>
          <w:rFonts w:eastAsia="Times New Roman"/>
          <w:color w:val="70AD47" w:themeColor="accent6"/>
        </w:rPr>
        <w:t>have to</w:t>
      </w:r>
      <w:proofErr w:type="gramEnd"/>
      <w:r w:rsidRPr="00C839F2">
        <w:rPr>
          <w:rFonts w:eastAsia="Times New Roman"/>
          <w:color w:val="70AD47" w:themeColor="accent6"/>
        </w:rPr>
        <w:t xml:space="preserve">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w:t>
      </w:r>
      <w:proofErr w:type="gramStart"/>
      <w:r>
        <w:rPr>
          <w:rFonts w:eastAsia="Times New Roman"/>
          <w:color w:val="70AD47" w:themeColor="accent6"/>
        </w:rPr>
        <w:t>in order</w:t>
      </w:r>
      <w:r w:rsidRPr="00367950">
        <w:rPr>
          <w:rFonts w:eastAsia="Times New Roman"/>
          <w:color w:val="70AD47" w:themeColor="accent6"/>
        </w:rPr>
        <w:t xml:space="preserve"> to</w:t>
      </w:r>
      <w:proofErr w:type="gramEnd"/>
      <w:r w:rsidRPr="00367950">
        <w:rPr>
          <w:rFonts w:eastAsia="Times New Roman"/>
          <w:color w:val="70AD47" w:themeColor="accent6"/>
        </w:rPr>
        <w:t xml:space="preserve">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p>
    <w:p w:rsidR="003B683B" w:rsidRDefault="003B683B" w:rsidP="004E0B3C">
      <w:pPr>
        <w:rPr>
          <w:rFonts w:eastAsia="Times New Roman"/>
        </w:rPr>
      </w:pPr>
      <w:r>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xml:space="preserve">: One of a table’s candidate keys that we choose to </w:t>
      </w:r>
      <w:proofErr w:type="gramStart"/>
      <w:r w:rsidR="00205FAC">
        <w:rPr>
          <w:rFonts w:eastAsia="Times New Roman"/>
        </w:rPr>
        <w:t>actually identify</w:t>
      </w:r>
      <w:proofErr w:type="gramEnd"/>
      <w:r w:rsidR="00205FAC">
        <w:rPr>
          <w:rFonts w:eastAsia="Times New Roman"/>
        </w:rPr>
        <w:t xml:space="preserve">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proofErr w:type="gramStart"/>
      <w:r>
        <w:rPr>
          <w:rFonts w:eastAsia="Times New Roman"/>
        </w:rPr>
        <w:t>have to</w:t>
      </w:r>
      <w:proofErr w:type="gramEnd"/>
      <w:r>
        <w:rPr>
          <w:rFonts w:eastAsia="Times New Roman"/>
        </w:rPr>
        <w:t xml:space="preserve">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BB5D83" w:rsidRDefault="00BB5D83" w:rsidP="004E0B3C">
      <w:pPr>
        <w:rPr>
          <w:rFonts w:eastAsia="Times New Roman"/>
        </w:rPr>
      </w:pPr>
      <w:r>
        <w:rPr>
          <w:rFonts w:eastAsia="Times New Roman"/>
        </w:rPr>
        <w:t>-Cons: Makes some queries slower (Faster to read denormalized). [Many get faster.]</w:t>
      </w:r>
    </w:p>
    <w:p w:rsidR="00896B67" w:rsidRDefault="00896B67" w:rsidP="004E0B3C">
      <w:pPr>
        <w:rPr>
          <w:rFonts w:eastAsia="Times New Roman"/>
        </w:rPr>
      </w:pPr>
    </w:p>
    <w:p w:rsidR="00B428A8" w:rsidRDefault="00B428A8"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7C1EEB" w:rsidRDefault="007C1EEB" w:rsidP="004E0B3C">
      <w:pPr>
        <w:rPr>
          <w:rFonts w:eastAsia="Times New Roman"/>
        </w:rPr>
      </w:pPr>
      <w:r>
        <w:rPr>
          <w:rFonts w:eastAsia="Times New Roman"/>
        </w:rPr>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lastRenderedPageBreak/>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lastRenderedPageBreak/>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Pr="003B65F5" w:rsidRDefault="003B65F5"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w:t>
      </w:r>
      <w:proofErr w:type="gramStart"/>
      <w:r w:rsidR="00E56886">
        <w:rPr>
          <w:rFonts w:eastAsia="Times New Roman"/>
        </w:rPr>
        <w:t>Similar to</w:t>
      </w:r>
      <w:proofErr w:type="gramEnd"/>
      <w:r w:rsidR="00E56886">
        <w:rPr>
          <w:rFonts w:eastAsia="Times New Roman"/>
        </w:rPr>
        <w:t xml:space="preserve">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lastRenderedPageBreak/>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 xml:space="preserve">Can use comparators (&gt;=, &lt;=, etc.) as well as </w:t>
      </w:r>
      <w:proofErr w:type="gramStart"/>
      <w:r>
        <w:rPr>
          <w:rFonts w:eastAsia="Times New Roman"/>
        </w:rPr>
        <w:t>ANY and ALL</w:t>
      </w:r>
      <w:proofErr w:type="gramEnd"/>
      <w:r>
        <w:rPr>
          <w:rFonts w:eastAsia="Times New Roman"/>
        </w:rPr>
        <w:t xml:space="preserve">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proofErr w:type="gramStart"/>
      <w:r w:rsidRPr="00C826BB">
        <w:rPr>
          <w:rFonts w:eastAsia="Times New Roman"/>
          <w:i/>
        </w:rPr>
        <w:t>columnNames</w:t>
      </w:r>
      <w:proofErr w:type="spellEnd"/>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E24237"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throws an error. 1 solution </w:t>
      </w:r>
      <w:r w:rsidR="009C278A">
        <w:rPr>
          <w:rFonts w:eastAsia="Times New Roman"/>
        </w:rPr>
        <w:t xml:space="preserve">is to set those keys to null. 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lastRenderedPageBreak/>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8003AD"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r w:rsidR="00205913">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8003AD" w:rsidRDefault="008003AD" w:rsidP="008003AD">
      <w:pPr>
        <w:tabs>
          <w:tab w:val="left" w:pos="7080"/>
        </w:tabs>
        <w:rPr>
          <w:rFonts w:eastAsia="Times New Roman"/>
        </w:rPr>
      </w:pP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or be recomputed whenever you need it.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lastRenderedPageBreak/>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0/1 to 1: 1's table has a Unique, Not Null FK to 0/1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 xml:space="preserve">Called junction </w:t>
      </w:r>
      <w:proofErr w:type="gramStart"/>
      <w:r>
        <w:rPr>
          <w:rFonts w:eastAsia="Times New Roman"/>
          <w:color w:val="70AD47" w:themeColor="accent6"/>
        </w:rPr>
        <w:t>table, or</w:t>
      </w:r>
      <w:proofErr w:type="gramEnd"/>
      <w:r>
        <w:rPr>
          <w:rFonts w:eastAsia="Times New Roman"/>
          <w:color w:val="70AD47" w:themeColor="accent6"/>
        </w:rPr>
        <w:t xml:space="preserve"> join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lastRenderedPageBreak/>
        <w:t>END</w:t>
      </w:r>
    </w:p>
    <w:p w:rsidR="00595FD3" w:rsidRDefault="00595FD3" w:rsidP="002C3744">
      <w:pPr>
        <w:tabs>
          <w:tab w:val="left" w:pos="7080"/>
        </w:tabs>
        <w:rPr>
          <w:rFonts w:eastAsia="Times New Roman"/>
          <w:color w:val="70AD47" w:themeColor="accent6"/>
        </w:rPr>
      </w:pPr>
    </w:p>
    <w:p w:rsidR="00595FD3" w:rsidRDefault="00595FD3" w:rsidP="002C3744">
      <w:pPr>
        <w:tabs>
          <w:tab w:val="left" w:pos="7080"/>
        </w:tabs>
        <w:rPr>
          <w:rFonts w:eastAsia="Times New Roman"/>
          <w:color w:val="70AD47" w:themeColor="accent6"/>
        </w:rPr>
      </w:pPr>
      <w:r>
        <w:rPr>
          <w:rFonts w:eastAsia="Times New Roman"/>
          <w:color w:val="70AD47" w:themeColor="accent6"/>
        </w:rPr>
        <w:t>Can put triggers on insert, update or delete.</w:t>
      </w:r>
    </w:p>
    <w:p w:rsidR="00595FD3" w:rsidRDefault="00595FD3" w:rsidP="002C3744">
      <w:pPr>
        <w:tabs>
          <w:tab w:val="left" w:pos="7080"/>
        </w:tabs>
        <w:rPr>
          <w:rFonts w:eastAsia="Times New Roman"/>
          <w:color w:val="70AD47" w:themeColor="accent6"/>
        </w:rPr>
      </w:pPr>
      <w:r>
        <w:rPr>
          <w:rFonts w:eastAsia="Times New Roman"/>
          <w:color w:val="70AD47" w:themeColor="accent6"/>
        </w:rPr>
        <w:t>Can be Before, After, or Instead Of the operation.</w:t>
      </w: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t>If Executing, make sure Declare is in same batch.</w:t>
      </w:r>
    </w:p>
    <w:p w:rsidR="00253449" w:rsidRDefault="00253449"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 xml:space="preserve">solation: Even if multiple transactions run concurrently, </w:t>
      </w:r>
      <w:proofErr w:type="gramStart"/>
      <w:r w:rsidR="00291472">
        <w:rPr>
          <w:rFonts w:eastAsia="Times New Roman"/>
          <w:color w:val="70AD47" w:themeColor="accent6"/>
        </w:rPr>
        <w:t>end result</w:t>
      </w:r>
      <w:proofErr w:type="gramEnd"/>
      <w:r w:rsidR="00291472">
        <w:rPr>
          <w:rFonts w:eastAsia="Times New Roman"/>
          <w:color w:val="70AD47" w:themeColor="accent6"/>
        </w:rPr>
        <w:t xml:space="preserve">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xml:space="preserve">: Default. Allows </w:t>
      </w:r>
      <w:r>
        <w:rPr>
          <w:rFonts w:eastAsia="Times New Roman"/>
          <w:color w:val="70AD47" w:themeColor="accent6"/>
        </w:rPr>
        <w:t>other</w:t>
      </w:r>
      <w:r>
        <w:rPr>
          <w:rFonts w:eastAsia="Times New Roman"/>
          <w:color w:val="70AD47" w:themeColor="accent6"/>
        </w:rPr>
        <w:t xml:space="preserve"> finished</w:t>
      </w:r>
      <w:r>
        <w:rPr>
          <w:rFonts w:eastAsia="Times New Roman"/>
          <w:color w:val="70AD47" w:themeColor="accent6"/>
        </w:rPr>
        <w:t xml:space="preserve"> transaction</w:t>
      </w:r>
      <w:r>
        <w:rPr>
          <w:rFonts w:eastAsia="Times New Roman"/>
          <w:color w:val="70AD47" w:themeColor="accent6"/>
        </w:rPr>
        <w:t>s</w:t>
      </w:r>
      <w:r>
        <w:rPr>
          <w:rFonts w:eastAsia="Times New Roman"/>
          <w:color w:val="70AD47" w:themeColor="accent6"/>
        </w:rPr>
        <w:t xml:space="preserve"> </w:t>
      </w:r>
      <w:r>
        <w:rPr>
          <w:rFonts w:eastAsia="Times New Roman"/>
          <w:color w:val="70AD47" w:themeColor="accent6"/>
        </w:rPr>
        <w:t>to</w:t>
      </w:r>
      <w:r>
        <w:rPr>
          <w:rFonts w:eastAsia="Times New Roman"/>
          <w:color w:val="70AD47" w:themeColor="accent6"/>
        </w:rPr>
        <w:t xml:space="preserve"> modify a row between one transaction's selects</w:t>
      </w:r>
      <w:r>
        <w:rPr>
          <w:rFonts w:eastAsia="Times New Roman"/>
          <w:color w:val="70AD47" w:themeColor="accent6"/>
        </w:rPr>
        <w:t>,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D22002" w:rsidRDefault="00D22002"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p>
    <w:p w:rsidR="00FF1B07" w:rsidRDefault="00FF1B07" w:rsidP="00894452">
      <w:pPr>
        <w:tabs>
          <w:tab w:val="left" w:pos="7080"/>
        </w:tabs>
        <w:rPr>
          <w:rFonts w:eastAsia="Times New Roman"/>
          <w:color w:val="70AD47" w:themeColor="accent6"/>
        </w:rPr>
      </w:pPr>
      <w:r>
        <w:rPr>
          <w:rFonts w:eastAsia="Times New Roman"/>
          <w:color w:val="70AD47" w:themeColor="accent6"/>
        </w:rPr>
        <w:lastRenderedPageBreak/>
        <w:t>Statement(s)</w:t>
      </w:r>
    </w:p>
    <w:p w:rsidR="00FF1B07"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2E3600" w:rsidRDefault="00FF1B07" w:rsidP="00894452">
      <w:pPr>
        <w:tabs>
          <w:tab w:val="left" w:pos="7080"/>
        </w:tabs>
        <w:rPr>
          <w:rFonts w:eastAsia="Times New Roman"/>
          <w:color w:val="70AD47" w:themeColor="accent6"/>
        </w:rPr>
      </w:pPr>
      <w:r>
        <w:rPr>
          <w:rFonts w:eastAsia="Times New Roman"/>
          <w:color w:val="70AD47" w:themeColor="accent6"/>
        </w:rPr>
        <w:t>Using a Rollback Transaction returns state to before beginning the transaction.</w:t>
      </w:r>
    </w:p>
    <w:p w:rsidR="00513BBE" w:rsidRDefault="00513BBE" w:rsidP="00894452">
      <w:pPr>
        <w:tabs>
          <w:tab w:val="left" w:pos="7080"/>
        </w:tabs>
        <w:rPr>
          <w:rFonts w:eastAsia="Times New Roman"/>
          <w:color w:val="70AD47" w:themeColor="accent6"/>
        </w:rPr>
      </w:pPr>
    </w:p>
    <w:p w:rsidR="00513BBE" w:rsidRDefault="00513BBE" w:rsidP="00894452">
      <w:pPr>
        <w:tabs>
          <w:tab w:val="left" w:pos="7080"/>
        </w:tabs>
        <w:rPr>
          <w:rFonts w:eastAsia="Times New Roman"/>
          <w:color w:val="70AD47" w:themeColor="accent6"/>
        </w:rPr>
      </w:pPr>
      <w:r>
        <w:rPr>
          <w:rFonts w:eastAsia="Times New Roman"/>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513BBE" w:rsidRDefault="006C5EE4" w:rsidP="00894452">
      <w:pPr>
        <w:tabs>
          <w:tab w:val="left" w:pos="7080"/>
        </w:tabs>
        <w:rPr>
          <w:rFonts w:eastAsia="Times New Roman"/>
          <w:color w:val="70AD47" w:themeColor="accent6"/>
        </w:rPr>
      </w:pPr>
      <w:proofErr w:type="spellStart"/>
      <w:r>
        <w:rPr>
          <w:rFonts w:eastAsia="Times New Roman"/>
          <w:color w:val="70AD47" w:themeColor="accent6"/>
        </w:rPr>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p>
    <w:p w:rsidR="006C5EE4" w:rsidRDefault="006C5EE4" w:rsidP="00894452">
      <w:pPr>
        <w:tabs>
          <w:tab w:val="left" w:pos="7080"/>
        </w:tabs>
        <w:rPr>
          <w:rFonts w:eastAsia="Times New Roman"/>
          <w:color w:val="70AD47" w:themeColor="accent6"/>
        </w:rPr>
      </w:pPr>
    </w:p>
    <w:p w:rsidR="006C5EE4" w:rsidRPr="002E3600"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bookmarkStart w:id="0" w:name="_GoBack"/>
      <w:bookmarkEnd w:id="0"/>
      <w:r>
        <w:rPr>
          <w:rFonts w:eastAsia="Times New Roman"/>
          <w:color w:val="70AD47" w:themeColor="accent6"/>
        </w:rPr>
        <w:t xml:space="preserve"> password)</w:t>
      </w:r>
      <w:r w:rsidR="00F92418">
        <w:rPr>
          <w:rFonts w:eastAsia="Times New Roman"/>
          <w:color w:val="70AD47" w:themeColor="accent6"/>
        </w:rPr>
        <w:t>, and other options.</w:t>
      </w:r>
    </w:p>
    <w:sectPr w:rsidR="006C5EE4" w:rsidRPr="002E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2D0B"/>
    <w:rsid w:val="00002F43"/>
    <w:rsid w:val="00003BF4"/>
    <w:rsid w:val="00006366"/>
    <w:rsid w:val="0000669B"/>
    <w:rsid w:val="0001067A"/>
    <w:rsid w:val="00012E9B"/>
    <w:rsid w:val="000274F0"/>
    <w:rsid w:val="000310D8"/>
    <w:rsid w:val="00032E1F"/>
    <w:rsid w:val="000373C1"/>
    <w:rsid w:val="0003786D"/>
    <w:rsid w:val="00054474"/>
    <w:rsid w:val="00056D5D"/>
    <w:rsid w:val="0006263E"/>
    <w:rsid w:val="0006331A"/>
    <w:rsid w:val="00063508"/>
    <w:rsid w:val="00063899"/>
    <w:rsid w:val="00074F3F"/>
    <w:rsid w:val="0008294D"/>
    <w:rsid w:val="0008580D"/>
    <w:rsid w:val="00086EFA"/>
    <w:rsid w:val="000919CB"/>
    <w:rsid w:val="00096AAB"/>
    <w:rsid w:val="000A3F96"/>
    <w:rsid w:val="000A4017"/>
    <w:rsid w:val="000B54C0"/>
    <w:rsid w:val="000B610B"/>
    <w:rsid w:val="000B7961"/>
    <w:rsid w:val="000C6056"/>
    <w:rsid w:val="000C6B1A"/>
    <w:rsid w:val="000D6425"/>
    <w:rsid w:val="000D7583"/>
    <w:rsid w:val="000E3E02"/>
    <w:rsid w:val="000E6E41"/>
    <w:rsid w:val="000E6FAF"/>
    <w:rsid w:val="000F0584"/>
    <w:rsid w:val="000F4B23"/>
    <w:rsid w:val="000F56B1"/>
    <w:rsid w:val="000F7F29"/>
    <w:rsid w:val="0010024F"/>
    <w:rsid w:val="00106572"/>
    <w:rsid w:val="001121F7"/>
    <w:rsid w:val="00126AFB"/>
    <w:rsid w:val="00130EB1"/>
    <w:rsid w:val="001531CA"/>
    <w:rsid w:val="00161FA1"/>
    <w:rsid w:val="0016748C"/>
    <w:rsid w:val="00171414"/>
    <w:rsid w:val="0017241F"/>
    <w:rsid w:val="00175C8F"/>
    <w:rsid w:val="00176D4E"/>
    <w:rsid w:val="00186001"/>
    <w:rsid w:val="00187597"/>
    <w:rsid w:val="00192D7D"/>
    <w:rsid w:val="0019363B"/>
    <w:rsid w:val="00193717"/>
    <w:rsid w:val="00196E6E"/>
    <w:rsid w:val="001A600F"/>
    <w:rsid w:val="001B29BD"/>
    <w:rsid w:val="001B7DD5"/>
    <w:rsid w:val="001C4FEA"/>
    <w:rsid w:val="001E4AF3"/>
    <w:rsid w:val="001F315B"/>
    <w:rsid w:val="001F5982"/>
    <w:rsid w:val="001F5A66"/>
    <w:rsid w:val="00204ECA"/>
    <w:rsid w:val="00205913"/>
    <w:rsid w:val="00205FAC"/>
    <w:rsid w:val="002064AA"/>
    <w:rsid w:val="0021448C"/>
    <w:rsid w:val="002153BD"/>
    <w:rsid w:val="0022321D"/>
    <w:rsid w:val="00226110"/>
    <w:rsid w:val="00226F2A"/>
    <w:rsid w:val="00241F8C"/>
    <w:rsid w:val="002459CF"/>
    <w:rsid w:val="00246062"/>
    <w:rsid w:val="002462D5"/>
    <w:rsid w:val="00247A1B"/>
    <w:rsid w:val="00253449"/>
    <w:rsid w:val="002543C6"/>
    <w:rsid w:val="002547EF"/>
    <w:rsid w:val="00254952"/>
    <w:rsid w:val="00255D50"/>
    <w:rsid w:val="002730C5"/>
    <w:rsid w:val="00275E7D"/>
    <w:rsid w:val="002776B8"/>
    <w:rsid w:val="00280186"/>
    <w:rsid w:val="0028167B"/>
    <w:rsid w:val="002825EA"/>
    <w:rsid w:val="0028586B"/>
    <w:rsid w:val="00291472"/>
    <w:rsid w:val="00293A26"/>
    <w:rsid w:val="00296C9C"/>
    <w:rsid w:val="002B1197"/>
    <w:rsid w:val="002B226A"/>
    <w:rsid w:val="002B23E9"/>
    <w:rsid w:val="002B3E2B"/>
    <w:rsid w:val="002B644E"/>
    <w:rsid w:val="002C1E87"/>
    <w:rsid w:val="002C3744"/>
    <w:rsid w:val="002C3B5F"/>
    <w:rsid w:val="002D56DD"/>
    <w:rsid w:val="002D6696"/>
    <w:rsid w:val="002E3600"/>
    <w:rsid w:val="002E40AD"/>
    <w:rsid w:val="002E7C56"/>
    <w:rsid w:val="002F0E05"/>
    <w:rsid w:val="00301514"/>
    <w:rsid w:val="00303DEC"/>
    <w:rsid w:val="003147BB"/>
    <w:rsid w:val="00321D10"/>
    <w:rsid w:val="003234E8"/>
    <w:rsid w:val="003422CE"/>
    <w:rsid w:val="003533D5"/>
    <w:rsid w:val="00356AB6"/>
    <w:rsid w:val="00367950"/>
    <w:rsid w:val="0037260B"/>
    <w:rsid w:val="00374E93"/>
    <w:rsid w:val="00375187"/>
    <w:rsid w:val="00386B0E"/>
    <w:rsid w:val="003910A9"/>
    <w:rsid w:val="003916EE"/>
    <w:rsid w:val="00392C0E"/>
    <w:rsid w:val="00394B8C"/>
    <w:rsid w:val="003968C9"/>
    <w:rsid w:val="003A1E02"/>
    <w:rsid w:val="003A2400"/>
    <w:rsid w:val="003A734F"/>
    <w:rsid w:val="003B65F5"/>
    <w:rsid w:val="003B683B"/>
    <w:rsid w:val="003B7C9D"/>
    <w:rsid w:val="003C110E"/>
    <w:rsid w:val="003C2EB5"/>
    <w:rsid w:val="003C49FA"/>
    <w:rsid w:val="003D2C47"/>
    <w:rsid w:val="003F01B0"/>
    <w:rsid w:val="003F3D02"/>
    <w:rsid w:val="003F69C4"/>
    <w:rsid w:val="004007DD"/>
    <w:rsid w:val="004015D9"/>
    <w:rsid w:val="004026A0"/>
    <w:rsid w:val="00402B12"/>
    <w:rsid w:val="004041A0"/>
    <w:rsid w:val="00405331"/>
    <w:rsid w:val="004131A5"/>
    <w:rsid w:val="00414A3B"/>
    <w:rsid w:val="00423624"/>
    <w:rsid w:val="004256C9"/>
    <w:rsid w:val="0043326B"/>
    <w:rsid w:val="0043646D"/>
    <w:rsid w:val="0044256A"/>
    <w:rsid w:val="004435C8"/>
    <w:rsid w:val="00444A85"/>
    <w:rsid w:val="004453BE"/>
    <w:rsid w:val="004539F7"/>
    <w:rsid w:val="00462582"/>
    <w:rsid w:val="00462B42"/>
    <w:rsid w:val="00465B6C"/>
    <w:rsid w:val="0047018F"/>
    <w:rsid w:val="0047610F"/>
    <w:rsid w:val="00476BE1"/>
    <w:rsid w:val="00481528"/>
    <w:rsid w:val="00482E2E"/>
    <w:rsid w:val="00487C0E"/>
    <w:rsid w:val="00492363"/>
    <w:rsid w:val="0049462B"/>
    <w:rsid w:val="004A13CB"/>
    <w:rsid w:val="004A59B3"/>
    <w:rsid w:val="004A5DE4"/>
    <w:rsid w:val="004A7CF8"/>
    <w:rsid w:val="004B08E0"/>
    <w:rsid w:val="004C2080"/>
    <w:rsid w:val="004C4058"/>
    <w:rsid w:val="004C4EC9"/>
    <w:rsid w:val="004D00D4"/>
    <w:rsid w:val="004D02D5"/>
    <w:rsid w:val="004D4594"/>
    <w:rsid w:val="004E0B3C"/>
    <w:rsid w:val="004F0BAC"/>
    <w:rsid w:val="004F3C32"/>
    <w:rsid w:val="004F54C9"/>
    <w:rsid w:val="00500C2A"/>
    <w:rsid w:val="005079CF"/>
    <w:rsid w:val="00512B3B"/>
    <w:rsid w:val="00513BBE"/>
    <w:rsid w:val="00513C21"/>
    <w:rsid w:val="005146A8"/>
    <w:rsid w:val="0052558C"/>
    <w:rsid w:val="0052607C"/>
    <w:rsid w:val="0053187D"/>
    <w:rsid w:val="00531FF5"/>
    <w:rsid w:val="005324CD"/>
    <w:rsid w:val="00532607"/>
    <w:rsid w:val="00532E87"/>
    <w:rsid w:val="00533172"/>
    <w:rsid w:val="0053604B"/>
    <w:rsid w:val="005477B2"/>
    <w:rsid w:val="005528E7"/>
    <w:rsid w:val="0056259D"/>
    <w:rsid w:val="00570DF8"/>
    <w:rsid w:val="005763BE"/>
    <w:rsid w:val="0058321F"/>
    <w:rsid w:val="005863D1"/>
    <w:rsid w:val="005905A1"/>
    <w:rsid w:val="00595FD3"/>
    <w:rsid w:val="005A0929"/>
    <w:rsid w:val="005A6E90"/>
    <w:rsid w:val="005A7108"/>
    <w:rsid w:val="005B149E"/>
    <w:rsid w:val="005B66A4"/>
    <w:rsid w:val="005B6D82"/>
    <w:rsid w:val="005B7BA8"/>
    <w:rsid w:val="005C0503"/>
    <w:rsid w:val="005C606E"/>
    <w:rsid w:val="005D1CCE"/>
    <w:rsid w:val="005D5538"/>
    <w:rsid w:val="005D607D"/>
    <w:rsid w:val="005E082E"/>
    <w:rsid w:val="005E1B70"/>
    <w:rsid w:val="005E2AFF"/>
    <w:rsid w:val="005E5A72"/>
    <w:rsid w:val="005E6E21"/>
    <w:rsid w:val="005E7A21"/>
    <w:rsid w:val="005F198D"/>
    <w:rsid w:val="005F3300"/>
    <w:rsid w:val="006113DD"/>
    <w:rsid w:val="00616296"/>
    <w:rsid w:val="00616CE9"/>
    <w:rsid w:val="00617507"/>
    <w:rsid w:val="00620701"/>
    <w:rsid w:val="00636775"/>
    <w:rsid w:val="00637EAA"/>
    <w:rsid w:val="00642BA5"/>
    <w:rsid w:val="00653BB1"/>
    <w:rsid w:val="00653D0E"/>
    <w:rsid w:val="0066168C"/>
    <w:rsid w:val="00663471"/>
    <w:rsid w:val="006650A8"/>
    <w:rsid w:val="00691577"/>
    <w:rsid w:val="006936B9"/>
    <w:rsid w:val="006A1662"/>
    <w:rsid w:val="006A4EEF"/>
    <w:rsid w:val="006A6307"/>
    <w:rsid w:val="006A6AE1"/>
    <w:rsid w:val="006B4A90"/>
    <w:rsid w:val="006B7983"/>
    <w:rsid w:val="006C5EE4"/>
    <w:rsid w:val="006D40F7"/>
    <w:rsid w:val="006D5907"/>
    <w:rsid w:val="006D6431"/>
    <w:rsid w:val="006D6478"/>
    <w:rsid w:val="006F4B52"/>
    <w:rsid w:val="006F60B5"/>
    <w:rsid w:val="007034BA"/>
    <w:rsid w:val="00711875"/>
    <w:rsid w:val="00722BA5"/>
    <w:rsid w:val="007278DF"/>
    <w:rsid w:val="00734696"/>
    <w:rsid w:val="00741EB3"/>
    <w:rsid w:val="00743B60"/>
    <w:rsid w:val="00746D1A"/>
    <w:rsid w:val="007505CF"/>
    <w:rsid w:val="00754C98"/>
    <w:rsid w:val="007567CE"/>
    <w:rsid w:val="007635C7"/>
    <w:rsid w:val="00763BEA"/>
    <w:rsid w:val="00763DAF"/>
    <w:rsid w:val="00764433"/>
    <w:rsid w:val="007653BB"/>
    <w:rsid w:val="007743A7"/>
    <w:rsid w:val="00783936"/>
    <w:rsid w:val="00785C62"/>
    <w:rsid w:val="007B0BE1"/>
    <w:rsid w:val="007C1EEB"/>
    <w:rsid w:val="007C4AAC"/>
    <w:rsid w:val="007C7150"/>
    <w:rsid w:val="007D59D1"/>
    <w:rsid w:val="007E0C7F"/>
    <w:rsid w:val="007E45E9"/>
    <w:rsid w:val="0080036F"/>
    <w:rsid w:val="008003AD"/>
    <w:rsid w:val="00802168"/>
    <w:rsid w:val="00803525"/>
    <w:rsid w:val="008064F2"/>
    <w:rsid w:val="008071BE"/>
    <w:rsid w:val="00810A98"/>
    <w:rsid w:val="0081516D"/>
    <w:rsid w:val="00827A24"/>
    <w:rsid w:val="00827DBE"/>
    <w:rsid w:val="00833D77"/>
    <w:rsid w:val="008379AA"/>
    <w:rsid w:val="0085072C"/>
    <w:rsid w:val="00852928"/>
    <w:rsid w:val="00862608"/>
    <w:rsid w:val="00867B66"/>
    <w:rsid w:val="00870AF1"/>
    <w:rsid w:val="00882EEB"/>
    <w:rsid w:val="00894452"/>
    <w:rsid w:val="00894F72"/>
    <w:rsid w:val="00895F64"/>
    <w:rsid w:val="00896B67"/>
    <w:rsid w:val="008972A5"/>
    <w:rsid w:val="00897BFB"/>
    <w:rsid w:val="008A19EE"/>
    <w:rsid w:val="008A4478"/>
    <w:rsid w:val="008B3463"/>
    <w:rsid w:val="008B3465"/>
    <w:rsid w:val="008B7680"/>
    <w:rsid w:val="008D580C"/>
    <w:rsid w:val="00900AFD"/>
    <w:rsid w:val="00904E09"/>
    <w:rsid w:val="0091380B"/>
    <w:rsid w:val="00914C58"/>
    <w:rsid w:val="00925D08"/>
    <w:rsid w:val="009345CD"/>
    <w:rsid w:val="009357B3"/>
    <w:rsid w:val="00935C7C"/>
    <w:rsid w:val="009367D0"/>
    <w:rsid w:val="00937615"/>
    <w:rsid w:val="0094187E"/>
    <w:rsid w:val="009433A1"/>
    <w:rsid w:val="00945A21"/>
    <w:rsid w:val="0094649B"/>
    <w:rsid w:val="00950799"/>
    <w:rsid w:val="0096081B"/>
    <w:rsid w:val="009608D2"/>
    <w:rsid w:val="009632DF"/>
    <w:rsid w:val="009729A2"/>
    <w:rsid w:val="0098799C"/>
    <w:rsid w:val="009A702A"/>
    <w:rsid w:val="009B0E28"/>
    <w:rsid w:val="009B2E8E"/>
    <w:rsid w:val="009B4FB1"/>
    <w:rsid w:val="009B72AB"/>
    <w:rsid w:val="009C1492"/>
    <w:rsid w:val="009C278A"/>
    <w:rsid w:val="009C5DEA"/>
    <w:rsid w:val="009C6916"/>
    <w:rsid w:val="009E027F"/>
    <w:rsid w:val="009E6C4D"/>
    <w:rsid w:val="009F02E6"/>
    <w:rsid w:val="009F09E9"/>
    <w:rsid w:val="009F2DA9"/>
    <w:rsid w:val="00A05A82"/>
    <w:rsid w:val="00A05E52"/>
    <w:rsid w:val="00A1145A"/>
    <w:rsid w:val="00A31D02"/>
    <w:rsid w:val="00A42AF8"/>
    <w:rsid w:val="00A43894"/>
    <w:rsid w:val="00A504F3"/>
    <w:rsid w:val="00A533AD"/>
    <w:rsid w:val="00A6005D"/>
    <w:rsid w:val="00A61937"/>
    <w:rsid w:val="00A63089"/>
    <w:rsid w:val="00A66BB5"/>
    <w:rsid w:val="00A677BA"/>
    <w:rsid w:val="00A841B8"/>
    <w:rsid w:val="00AA428E"/>
    <w:rsid w:val="00AA54F0"/>
    <w:rsid w:val="00AA7878"/>
    <w:rsid w:val="00AB10CE"/>
    <w:rsid w:val="00AB18A6"/>
    <w:rsid w:val="00AB2316"/>
    <w:rsid w:val="00AB36A2"/>
    <w:rsid w:val="00AB49BC"/>
    <w:rsid w:val="00AC3423"/>
    <w:rsid w:val="00AC3BDC"/>
    <w:rsid w:val="00AD06D9"/>
    <w:rsid w:val="00AD50F9"/>
    <w:rsid w:val="00AE2E24"/>
    <w:rsid w:val="00AE30F8"/>
    <w:rsid w:val="00AE53D3"/>
    <w:rsid w:val="00B04056"/>
    <w:rsid w:val="00B0644A"/>
    <w:rsid w:val="00B07B05"/>
    <w:rsid w:val="00B13F73"/>
    <w:rsid w:val="00B15FD3"/>
    <w:rsid w:val="00B1612F"/>
    <w:rsid w:val="00B27A5F"/>
    <w:rsid w:val="00B42515"/>
    <w:rsid w:val="00B428A8"/>
    <w:rsid w:val="00B43083"/>
    <w:rsid w:val="00B44FAB"/>
    <w:rsid w:val="00B537DC"/>
    <w:rsid w:val="00B540C8"/>
    <w:rsid w:val="00B5554A"/>
    <w:rsid w:val="00B56ABD"/>
    <w:rsid w:val="00B61747"/>
    <w:rsid w:val="00B6684B"/>
    <w:rsid w:val="00B66ECD"/>
    <w:rsid w:val="00B706BC"/>
    <w:rsid w:val="00B71092"/>
    <w:rsid w:val="00B81F2A"/>
    <w:rsid w:val="00B8297A"/>
    <w:rsid w:val="00B83116"/>
    <w:rsid w:val="00B8318A"/>
    <w:rsid w:val="00B911A4"/>
    <w:rsid w:val="00BA1F15"/>
    <w:rsid w:val="00BA56B4"/>
    <w:rsid w:val="00BB5D83"/>
    <w:rsid w:val="00BC0361"/>
    <w:rsid w:val="00BC56F8"/>
    <w:rsid w:val="00BD1A09"/>
    <w:rsid w:val="00BD5DED"/>
    <w:rsid w:val="00BE30DB"/>
    <w:rsid w:val="00BF09D4"/>
    <w:rsid w:val="00C034F7"/>
    <w:rsid w:val="00C10703"/>
    <w:rsid w:val="00C1458F"/>
    <w:rsid w:val="00C1477A"/>
    <w:rsid w:val="00C149C3"/>
    <w:rsid w:val="00C30D2E"/>
    <w:rsid w:val="00C46EDC"/>
    <w:rsid w:val="00C5189D"/>
    <w:rsid w:val="00C650A0"/>
    <w:rsid w:val="00C71EC8"/>
    <w:rsid w:val="00C826BB"/>
    <w:rsid w:val="00C839F2"/>
    <w:rsid w:val="00C91610"/>
    <w:rsid w:val="00C960DD"/>
    <w:rsid w:val="00C96418"/>
    <w:rsid w:val="00CA129E"/>
    <w:rsid w:val="00CA5DDA"/>
    <w:rsid w:val="00CD50B7"/>
    <w:rsid w:val="00CD5715"/>
    <w:rsid w:val="00CE2EB6"/>
    <w:rsid w:val="00CF30AA"/>
    <w:rsid w:val="00D0341D"/>
    <w:rsid w:val="00D0522F"/>
    <w:rsid w:val="00D064F4"/>
    <w:rsid w:val="00D142A7"/>
    <w:rsid w:val="00D22002"/>
    <w:rsid w:val="00D32758"/>
    <w:rsid w:val="00D32B97"/>
    <w:rsid w:val="00D403A4"/>
    <w:rsid w:val="00D431E9"/>
    <w:rsid w:val="00D442B9"/>
    <w:rsid w:val="00D4662E"/>
    <w:rsid w:val="00D47F84"/>
    <w:rsid w:val="00D64E74"/>
    <w:rsid w:val="00D67A56"/>
    <w:rsid w:val="00D76F6A"/>
    <w:rsid w:val="00D85973"/>
    <w:rsid w:val="00D86F6F"/>
    <w:rsid w:val="00D95943"/>
    <w:rsid w:val="00D95959"/>
    <w:rsid w:val="00DA67B8"/>
    <w:rsid w:val="00DB2DEA"/>
    <w:rsid w:val="00DB306A"/>
    <w:rsid w:val="00DB4014"/>
    <w:rsid w:val="00DB5628"/>
    <w:rsid w:val="00DB74EC"/>
    <w:rsid w:val="00DC0088"/>
    <w:rsid w:val="00DC6875"/>
    <w:rsid w:val="00DD2634"/>
    <w:rsid w:val="00DD29DC"/>
    <w:rsid w:val="00DD3DAF"/>
    <w:rsid w:val="00DE5CDF"/>
    <w:rsid w:val="00E076C7"/>
    <w:rsid w:val="00E07E3A"/>
    <w:rsid w:val="00E111CE"/>
    <w:rsid w:val="00E11D52"/>
    <w:rsid w:val="00E16816"/>
    <w:rsid w:val="00E20073"/>
    <w:rsid w:val="00E24237"/>
    <w:rsid w:val="00E4013C"/>
    <w:rsid w:val="00E47F1A"/>
    <w:rsid w:val="00E56886"/>
    <w:rsid w:val="00E60BD1"/>
    <w:rsid w:val="00E60BD5"/>
    <w:rsid w:val="00E61534"/>
    <w:rsid w:val="00E63AB8"/>
    <w:rsid w:val="00E72536"/>
    <w:rsid w:val="00E74E0B"/>
    <w:rsid w:val="00E77027"/>
    <w:rsid w:val="00E77A09"/>
    <w:rsid w:val="00E814A7"/>
    <w:rsid w:val="00E81525"/>
    <w:rsid w:val="00E84085"/>
    <w:rsid w:val="00E95A5A"/>
    <w:rsid w:val="00EA5750"/>
    <w:rsid w:val="00EA6D0C"/>
    <w:rsid w:val="00EB0D23"/>
    <w:rsid w:val="00EB7AE9"/>
    <w:rsid w:val="00EC2B38"/>
    <w:rsid w:val="00EC53F3"/>
    <w:rsid w:val="00EC7D7B"/>
    <w:rsid w:val="00ED0FA8"/>
    <w:rsid w:val="00ED4A3C"/>
    <w:rsid w:val="00ED76DE"/>
    <w:rsid w:val="00EE1156"/>
    <w:rsid w:val="00EE2AC4"/>
    <w:rsid w:val="00EF60AE"/>
    <w:rsid w:val="00EF64D9"/>
    <w:rsid w:val="00EF6F7F"/>
    <w:rsid w:val="00F06A6B"/>
    <w:rsid w:val="00F41B8C"/>
    <w:rsid w:val="00F42F65"/>
    <w:rsid w:val="00F46843"/>
    <w:rsid w:val="00F515EC"/>
    <w:rsid w:val="00F53C91"/>
    <w:rsid w:val="00F556B0"/>
    <w:rsid w:val="00F620D0"/>
    <w:rsid w:val="00F629B0"/>
    <w:rsid w:val="00F668D2"/>
    <w:rsid w:val="00F67FE3"/>
    <w:rsid w:val="00F7537F"/>
    <w:rsid w:val="00F82A0A"/>
    <w:rsid w:val="00F850D4"/>
    <w:rsid w:val="00F86AD0"/>
    <w:rsid w:val="00F92418"/>
    <w:rsid w:val="00F976B1"/>
    <w:rsid w:val="00F97F4D"/>
    <w:rsid w:val="00FA52D4"/>
    <w:rsid w:val="00FA5B2F"/>
    <w:rsid w:val="00FA71D1"/>
    <w:rsid w:val="00FB1D1E"/>
    <w:rsid w:val="00FC438A"/>
    <w:rsid w:val="00FD05B4"/>
    <w:rsid w:val="00FD3CD6"/>
    <w:rsid w:val="00FD6C07"/>
    <w:rsid w:val="00FD7B5D"/>
    <w:rsid w:val="00FE27B4"/>
    <w:rsid w:val="00FE2D87"/>
    <w:rsid w:val="00FE2EA2"/>
    <w:rsid w:val="00FF1B07"/>
    <w:rsid w:val="00FF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D894"/>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BC8C-73A3-4292-805B-C098AF2F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24</Pages>
  <Words>7741</Words>
  <Characters>44125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410</cp:revision>
  <dcterms:created xsi:type="dcterms:W3CDTF">2019-02-18T17:28:00Z</dcterms:created>
  <dcterms:modified xsi:type="dcterms:W3CDTF">2019-02-28T17:58:00Z</dcterms:modified>
</cp:coreProperties>
</file>