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proofErr w:type="gramStart"/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</w:t>
            </w:r>
            <w:proofErr w:type="gramEnd"/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116965C8" w14:textId="18887C4A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Jerome Ouellet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</w:t>
      </w:r>
      <w:proofErr w:type="spellStart"/>
      <w:r w:rsidR="0075282E">
        <w:rPr>
          <w:rFonts w:asciiTheme="minorHAnsi" w:hAnsiTheme="minorHAnsi" w:cstheme="minorHAnsi"/>
          <w:sz w:val="24"/>
          <w:szCs w:val="24"/>
        </w:rPr>
        <w:t>Sphere</w:t>
      </w:r>
      <w:proofErr w:type="spellEnd"/>
      <w:r w:rsidR="0075282E">
        <w:rPr>
          <w:rFonts w:asciiTheme="minorHAnsi" w:hAnsiTheme="minorHAnsi" w:cstheme="minorHAnsi"/>
          <w:sz w:val="24"/>
          <w:szCs w:val="24"/>
        </w:rPr>
        <w:t>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proofErr w:type="gramStart"/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  <w:proofErr w:type="gramEnd"/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lastRenderedPageBreak/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65311A2E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3070"/>
        <w:gridCol w:w="3071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73A6456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4CC181F8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322044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B09BE59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6532942A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06AEF7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Attribut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Cardinalité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lastRenderedPageBreak/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______________________ou ______________________.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______________________est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______________________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les ______________________ou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  <w:proofErr w:type="gramEnd"/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  <w:proofErr w:type="gramEnd"/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Open </w:t>
      </w:r>
      <w:proofErr w:type="spellStart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ModelSphere</w:t>
      </w:r>
      <w:proofErr w:type="spellEnd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5"/>
      <w:footerReference w:type="default" r:id="rId16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88FF" w14:textId="77777777" w:rsidR="00FD585C" w:rsidRDefault="00FD585C">
      <w:r>
        <w:separator/>
      </w:r>
    </w:p>
  </w:endnote>
  <w:endnote w:type="continuationSeparator" w:id="0">
    <w:p w14:paraId="4E38BA1A" w14:textId="77777777" w:rsidR="00FD585C" w:rsidRDefault="00FD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83AF" w14:textId="77777777" w:rsidR="00FD585C" w:rsidRDefault="00FD585C">
      <w:r>
        <w:separator/>
      </w:r>
    </w:p>
  </w:footnote>
  <w:footnote w:type="continuationSeparator" w:id="0">
    <w:p w14:paraId="6F919F82" w14:textId="77777777" w:rsidR="00FD585C" w:rsidRDefault="00FD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686F"/>
    <w:rsid w:val="00036F0D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20A2D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4E91"/>
    <w:rsid w:val="00795E83"/>
    <w:rsid w:val="00797746"/>
    <w:rsid w:val="007B3D9B"/>
    <w:rsid w:val="007D12D9"/>
    <w:rsid w:val="007E397C"/>
    <w:rsid w:val="00805986"/>
    <w:rsid w:val="00807103"/>
    <w:rsid w:val="00807B8A"/>
    <w:rsid w:val="00811E57"/>
    <w:rsid w:val="00812181"/>
    <w:rsid w:val="00820226"/>
    <w:rsid w:val="00822A8C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C1ECA"/>
    <w:rsid w:val="00AC75A4"/>
    <w:rsid w:val="00AD1FF8"/>
    <w:rsid w:val="00AD5CB1"/>
    <w:rsid w:val="00AF066C"/>
    <w:rsid w:val="00AF0D13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Jerome Ouellet1</cp:lastModifiedBy>
  <cp:revision>71</cp:revision>
  <cp:lastPrinted>2015-01-29T16:01:00Z</cp:lastPrinted>
  <dcterms:created xsi:type="dcterms:W3CDTF">2023-10-07T00:43:00Z</dcterms:created>
  <dcterms:modified xsi:type="dcterms:W3CDTF">2024-01-31T20:15:00Z</dcterms:modified>
</cp:coreProperties>
</file>