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after="200"/>
      </w:pPr>
      <w:r>
        <w:rPr>
          <w:rFonts w:ascii="Times New Roman" w:cs="Times New Roman" w:eastAsia="Times New Roman" w:hAnsi="Times New Roman"/>
          <w:b/>
          <w:bCs/>
          <w:caps/>
          <w:color w:val="C4A35A"/>
          <w:sz w:val="18"/>
          <w:szCs w:val="18"/>
        </w:rPr>
        <w:t xml:space="preserve">EXECUTIVE EVIDENCE DOSSIER</w:t>
      </w:r>
    </w:p>
    <w:p>
      <w:pPr>
        <w:pBdr>
          <w:bottom w:val="single" w:color="C4A35A" w:sz="6" w:space="8"/>
        </w:pBdr>
        <w:spacing w:after="400"/>
      </w:pPr>
      <w:r>
        <w:rPr>
          <w:rFonts w:ascii="Times New Roman" w:cs="Times New Roman" w:eastAsia="Times New Roman" w:hAnsi="Times New Roman"/>
          <w:b/>
          <w:bCs/>
          <w:color w:val="1B2A4A"/>
          <w:sz w:val="44"/>
          <w:szCs w:val="44"/>
        </w:rPr>
        <w:t xml:space="preserve">The Case for Harmonising UK Solid Fuel Emissions with Advanced European Masonry Heater Frameworks</w:t>
      </w:r>
    </w:p>
    <w:p>
      <w:pPr>
        <w:spacing w:after="160" w:line="276"/>
      </w:pPr>
      <w:r>
        <w:rPr>
          <w:rFonts w:ascii="Times New Roman" w:cs="Times New Roman" w:eastAsia="Times New Roman" w:hAnsi="Times New Roman"/>
          <w:color w:val="2C2C2C"/>
          <w:sz w:val="24"/>
          <w:szCs w:val="24"/>
        </w:rPr>
        <w:t xml:space="preserve"/>
      </w:r>
    </w:p>
    <w:p>
      <w:pPr>
        <w:spacing w:after="160" w:line="276"/>
        <w:ind w:left="360"/>
      </w:pPr>
      <w:r>
        <w:rPr>
          <w:rFonts w:ascii="Times New Roman" w:cs="Times New Roman" w:eastAsia="Times New Roman" w:hAnsi="Times New Roman"/>
          <w:b/>
          <w:bCs/>
          <w:color w:val="1B2A4A"/>
          <w:sz w:val="24"/>
          <w:szCs w:val="24"/>
        </w:rPr>
        <w:t xml:space="preserve">Submitted to: </w:t>
      </w:r>
      <w:r>
        <w:rPr>
          <w:rFonts w:ascii="Times New Roman" w:cs="Times New Roman" w:eastAsia="Times New Roman" w:hAnsi="Times New Roman"/>
          <w:color w:val="2C2C2C"/>
          <w:sz w:val="24"/>
          <w:szCs w:val="24"/>
        </w:rPr>
        <w:t xml:space="preserve">Department for Environment, Food and Rural Affairs (Defra)</w:t>
      </w:r>
    </w:p>
    <w:p>
      <w:pPr>
        <w:spacing w:after="100" w:line="276"/>
        <w:ind w:left="360"/>
      </w:pPr>
      <w:r>
        <w:rPr>
          <w:rFonts w:ascii="Times New Roman" w:cs="Times New Roman" w:eastAsia="Times New Roman" w:hAnsi="Times New Roman"/>
          <w:b/>
          <w:bCs/>
          <w:color w:val="1B2A4A"/>
          <w:sz w:val="24"/>
          <w:szCs w:val="24"/>
        </w:rPr>
        <w:t xml:space="preserve">CC: </w:t>
      </w:r>
      <w:r>
        <w:rPr>
          <w:rFonts w:ascii="Times New Roman" w:cs="Times New Roman" w:eastAsia="Times New Roman" w:hAnsi="Times New Roman"/>
          <w:sz w:val="24"/>
          <w:szCs w:val="24"/>
        </w:rPr>
        <w:t xml:space="preserve">Devolved Administrations:</w:t>
      </w:r>
    </w:p>
    <w:p>
      <w:pPr>
        <w:spacing w:after="60" w:line="276"/>
        <w:ind w:left="720"/>
      </w:pPr>
      <w:r>
        <w:rPr>
          <w:rFonts w:ascii="Times New Roman" w:cs="Times New Roman" w:eastAsia="Times New Roman" w:hAnsi="Times New Roman"/>
          <w:color w:val="4A4A4A"/>
          <w:sz w:val="22"/>
          <w:szCs w:val="22"/>
        </w:rPr>
        <w:t xml:space="preserve">Scottish Government — environment.protection.team@gov.scot</w:t>
      </w:r>
    </w:p>
    <w:p>
      <w:pPr>
        <w:spacing w:after="60" w:line="276"/>
        <w:ind w:left="720"/>
      </w:pPr>
      <w:r>
        <w:rPr>
          <w:rFonts w:ascii="Times New Roman" w:cs="Times New Roman" w:eastAsia="Times New Roman" w:hAnsi="Times New Roman"/>
          <w:color w:val="4A4A4A"/>
          <w:sz w:val="22"/>
          <w:szCs w:val="22"/>
        </w:rPr>
        <w:t xml:space="preserve">Welsh Government / NRW — airquality@naturalresourceswales.gov.uk</w:t>
      </w:r>
    </w:p>
    <w:p>
      <w:pPr>
        <w:spacing w:after="160" w:line="276"/>
        <w:ind w:left="720"/>
      </w:pPr>
      <w:r>
        <w:rPr>
          <w:rFonts w:ascii="Times New Roman" w:cs="Times New Roman" w:eastAsia="Times New Roman" w:hAnsi="Times New Roman"/>
          <w:color w:val="4A4A4A"/>
          <w:sz w:val="22"/>
          <w:szCs w:val="22"/>
        </w:rPr>
        <w:t xml:space="preserve">DAERA (Northern Ireland) — daera.helpline@daera-ni.gov.uk</w:t>
      </w:r>
    </w:p>
    <w:p>
      <w:pPr>
        <w:spacing w:after="160" w:line="276"/>
        <w:ind w:left="360"/>
      </w:pPr>
      <w:r>
        <w:rPr>
          <w:rFonts w:ascii="Times New Roman" w:cs="Times New Roman" w:eastAsia="Times New Roman" w:hAnsi="Times New Roman"/>
          <w:b/>
          <w:bCs/>
          <w:color w:val="1B2A4A"/>
          <w:sz w:val="24"/>
          <w:szCs w:val="24"/>
        </w:rPr>
        <w:t xml:space="preserve">Purpose: </w:t>
      </w:r>
      <w:r>
        <w:rPr>
          <w:rFonts w:ascii="Times New Roman" w:cs="Times New Roman" w:eastAsia="Times New Roman" w:hAnsi="Times New Roman"/>
          <w:color w:val="2C2C2C"/>
          <w:sz w:val="24"/>
          <w:szCs w:val="24"/>
        </w:rPr>
        <w:t xml:space="preserve">Comprehensive Statutory Response to the Consultation on Reducing Smoke Emissions from Solid Fuel Burning (Closing 19 March 2026)</w:t>
      </w:r>
    </w:p>
    <w:p>
      <w:pPr>
        <w:spacing w:after="160" w:line="276"/>
        <w:ind w:left="360"/>
      </w:pPr>
      <w:r>
        <w:rPr>
          <w:rFonts w:ascii="Times New Roman" w:cs="Times New Roman" w:eastAsia="Times New Roman" w:hAnsi="Times New Roman"/>
          <w:b/>
          <w:bCs/>
          <w:color w:val="1B2A4A"/>
          <w:sz w:val="24"/>
          <w:szCs w:val="24"/>
        </w:rPr>
        <w:t xml:space="preserve">Date: </w:t>
      </w:r>
      <w:r>
        <w:rPr>
          <w:rFonts w:ascii="Times New Roman" w:cs="Times New Roman" w:eastAsia="Times New Roman" w:hAnsi="Times New Roman"/>
          <w:color w:val="2C2C2C"/>
          <w:sz w:val="24"/>
          <w:szCs w:val="24"/>
        </w:rPr>
        <w:t xml:space="preserve">10 March 2026</w:t>
      </w:r>
    </w:p>
    <w:p>
      <w:pPr>
        <w:spacing w:after="160" w:line="276"/>
        <w:ind w:left="360"/>
      </w:pPr>
      <w:r>
        <w:rPr>
          <w:rFonts w:ascii="Times New Roman" w:cs="Times New Roman" w:eastAsia="Times New Roman" w:hAnsi="Times New Roman"/>
          <w:b/>
          <w:bCs/>
          <w:color w:val="1B2A4A"/>
          <w:sz w:val="24"/>
          <w:szCs w:val="24"/>
        </w:rPr>
        <w:t xml:space="preserve">Classification: </w:t>
      </w:r>
      <w:r>
        <w:rPr>
          <w:rFonts w:ascii="Times New Roman" w:cs="Times New Roman" w:eastAsia="Times New Roman" w:hAnsi="Times New Roman"/>
          <w:color w:val="2C2C2C"/>
          <w:sz w:val="24"/>
          <w:szCs w:val="24"/>
        </w:rPr>
        <w:t xml:space="preserve">Technical Evidence / Statutory Policy Recommendation / Academic Evaluation</w:t>
      </w:r>
    </w:p>
    <w:p>
      <w:pPr>
        <w:spacing w:after="160" w:line="276"/>
      </w:pPr>
      <w:r>
        <w:rPr>
          <w:rFonts w:ascii="Times New Roman" w:cs="Times New Roman" w:eastAsia="Times New Roman" w:hAnsi="Times New Roman"/>
          <w:color w:val="2C2C2C"/>
          <w:sz w:val="24"/>
          <w:szCs w:val="24"/>
        </w:rPr>
        <w:t xml:space="preserve"/>
      </w:r>
    </w:p>
    <w:p>
      <w:pPr>
        <w:spacing w:after="160" w:line="276"/>
      </w:pPr>
      <w:r>
        <w:rPr>
          <w:rFonts w:ascii="Times New Roman" w:cs="Times New Roman" w:eastAsia="Times New Roman" w:hAnsi="Times New Roman"/>
          <w:color w:val="2C2C2C"/>
          <w:sz w:val="24"/>
          <w:szCs w:val="24"/>
        </w:rPr>
        <w:t xml:space="preserve"/>
      </w:r>
    </w:p>
    <w:p>
      <w:pPr>
        <w:pBdr>
          <w:top w:val="single" w:color="1B2A4A" w:sz="2" w:space="4"/>
        </w:pBdr>
        <w:spacing w:after="100"/>
      </w:pPr>
      <w:r>
        <w:rPr>
          <w:rFonts w:ascii="Times New Roman" w:cs="Times New Roman" w:eastAsia="Times New Roman" w:hAnsi="Times New Roman"/>
          <w:b/>
          <w:bCs/>
          <w:color w:val="1B2A4A"/>
          <w:sz w:val="20"/>
          <w:szCs w:val="20"/>
        </w:rPr>
        <w:t xml:space="preserve">Defra Consultation Reference:</w:t>
      </w:r>
    </w:p>
    <w:p>
      <w:pPr>
        <w:spacing w:after="160" w:line="276"/>
      </w:pPr>
      <w:r>
        <w:rPr>
          <w:rFonts w:ascii="Times New Roman" w:cs="Times New Roman" w:eastAsia="Times New Roman" w:hAnsi="Times New Roman"/>
          <w:color w:val="C4A35A"/>
          <w:sz w:val="24"/>
          <w:szCs w:val="24"/>
        </w:rPr>
        <w:t xml:space="preserve">https://consult.defra.gov.uk/domestic-burning/consultation-on-solid-fuel-burning/</w:t>
      </w:r>
    </w:p>
    <w:p>
      <w:pPr>
        <w:spacing w:after="160" w:line="276"/>
      </w:pPr>
      <w:r>
        <w:rPr>
          <w:rFonts w:ascii="Times New Roman" w:cs="Times New Roman" w:eastAsia="Times New Roman" w:hAnsi="Times New Roman"/>
          <w:color w:val="C4A35A"/>
          <w:sz w:val="24"/>
          <w:szCs w:val="24"/>
        </w:rPr>
        <w:t xml:space="preserve">Respond: https://consult.defra.gov.uk/domestic-burning/consultation-on-solid-fuel-burning/consultation/subpage.2026-01-13.3633732225/</w:t>
      </w:r>
    </w:p>
    <w:p>
      <w:r>
        <w:br w:type="page"/>
      </w:r>
    </w:p>
    <w:p>
      <w:pPr>
        <w:sectPr>
          <w:pgSz w:w="11906" w:h="16838" w:orient="portrait"/>
          <w:pgMar w:top="1440" w:right="1440" w:bottom="1440" w:left="1440" w:header="708" w:footer="708" w:gutter="0"/>
          <w:pgNumType/>
          <w:docGrid w:linePitch="360"/>
        </w:sectPr>
      </w:pPr>
    </w:p>
    <w:p>
      <w:pPr>
        <w:pBdr>
          <w:top w:val="single" w:color="1B2A4A" w:sz="6" w:space="4"/>
        </w:pBdr>
        <w:spacing w:before="400" w:after="80"/>
      </w:pPr>
      <w:r>
        <w:rPr>
          <w:rFonts w:ascii="Times New Roman" w:cs="Times New Roman" w:eastAsia="Times New Roman" w:hAnsi="Times New Roman"/>
          <w:b/>
          <w:bCs/>
          <w:caps/>
          <w:color w:val="C4A35A"/>
          <w:sz w:val="18"/>
          <w:szCs w:val="18"/>
        </w:rPr>
        <w:t xml:space="preserve">PART 1</w:t>
      </w:r>
    </w:p>
    <w:p>
      <w:pPr>
        <w:pStyle w:val="Heading1"/>
        <w:spacing w:after="240"/>
      </w:pPr>
      <w:r>
        <w:rPr>
          <w:rFonts w:ascii="Times New Roman" w:cs="Times New Roman" w:eastAsia="Times New Roman" w:hAnsi="Times New Roman"/>
        </w:rPr>
        <w:t xml:space="preserve">Executive Summary</w:t>
      </w:r>
    </w:p>
    <w:p>
      <w:pPr>
        <w:spacing w:after="160" w:line="276"/>
      </w:pPr>
      <w:r>
        <w:rPr>
          <w:rFonts w:ascii="Times New Roman" w:cs="Times New Roman" w:eastAsia="Times New Roman" w:hAnsi="Times New Roman"/>
          <w:color w:val="2C2C2C"/>
          <w:sz w:val="24"/>
          <w:szCs w:val="24"/>
        </w:rPr>
        <w:t xml:space="preserve">The United Kingdom is at a defining crossroads in its domestic air quality strategy. The 2026 Defra Consultation proposes a reduction in allowable smoke emissions for new solid fuel stoves from the current 5 g/h to 1 g/h (plus 0.1g per 0.3 kW of output). While this represents a stringent numerical target, a review of UK British Standards (BS 3841, BS EN 15250, BS EN 15544), global empirical data (US EPA, Lopez Labs), and European frameworks (Austrian 15a B-VG, German 1. BImSchV) reveals a significant structural limitation: the UK’s “mass-rate” methodology does not accommodate the operational characteristics of high-mass Masonry Heaters (MH) — a technology class that demonstrably achieves lower emissions per unit of heat delivered than conventional appliances.</w:t>
      </w:r>
    </w:p>
    <w:p>
      <w:pPr>
        <w:spacing w:after="160" w:line="276"/>
      </w:pPr>
      <w:r>
        <w:rPr>
          <w:rFonts w:ascii="Times New Roman" w:cs="Times New Roman" w:eastAsia="Times New Roman" w:hAnsi="Times New Roman"/>
          <w:color w:val="2C2C2C"/>
          <w:sz w:val="24"/>
          <w:szCs w:val="24"/>
        </w:rPr>
        <w:t xml:space="preserve">This 10-part dossier provides a comparison of international testing regimes. It demonstrates that masonry heater technologies vary significantly — from the Swedish Kakelugn to the American Contraflow, the German Grundofen, and the Austrian UmweltPlus bio-combustion firebox. Despite their mechanical differences, all share a common thermal principle: high-temperature batch combustion followed by prolonged, zero-emission radiant heat release.</w:t>
      </w:r>
    </w:p>
    <w:p>
      <w:pPr>
        <w:spacing w:after="160" w:line="276"/>
      </w:pPr>
      <w:r>
        <w:rPr>
          <w:rFonts w:ascii="Times New Roman" w:cs="Times New Roman" w:eastAsia="Times New Roman" w:hAnsi="Times New Roman"/>
          <w:b/>
          <w:bCs/>
          <w:color w:val="2C2C2C"/>
          <w:sz w:val="24"/>
          <w:szCs w:val="24"/>
        </w:rPr>
        <w:t xml:space="preserve">The evidence indicates that applying a continuous-burn metric (grams per hour) to a batch-burn thermal storage appliance does not accurately represent its emissions performance. To meet its Net Zero and PM2.5 abatement targets, Defra should consider adopting an energy-normalized metric (mg/MJ) and recognising calculation-based certification (BS EN 15544). This dossier outlines a policy pathway to achieve this, at zero cost to the UK Government.</w:t>
      </w:r>
    </w:p>
    <w:p>
      <w:r>
        <w:br w:type="page"/>
      </w:r>
    </w:p>
    <w:p>
      <w:pPr>
        <w:pBdr>
          <w:top w:val="single" w:color="1B2A4A" w:sz="6" w:space="4"/>
        </w:pBdr>
        <w:spacing w:before="400" w:after="80"/>
      </w:pPr>
      <w:r>
        <w:rPr>
          <w:rFonts w:ascii="Times New Roman" w:cs="Times New Roman" w:eastAsia="Times New Roman" w:hAnsi="Times New Roman"/>
          <w:b/>
          <w:bCs/>
          <w:caps/>
          <w:color w:val="C4A35A"/>
          <w:sz w:val="18"/>
          <w:szCs w:val="18"/>
        </w:rPr>
        <w:t xml:space="preserve">PART 2</w:t>
      </w:r>
    </w:p>
    <w:p>
      <w:pPr>
        <w:pStyle w:val="Heading1"/>
        <w:spacing w:after="240"/>
      </w:pPr>
      <w:r>
        <w:rPr>
          <w:rFonts w:ascii="Times New Roman" w:cs="Times New Roman" w:eastAsia="Times New Roman" w:hAnsi="Times New Roman"/>
        </w:rPr>
        <w:t xml:space="preserve">The Regulatory Anomaly and the “Measurement Gap”</w:t>
      </w:r>
    </w:p>
    <w:p>
      <w:pPr>
        <w:pStyle w:val="Heading2"/>
        <w:spacing w:before="300" w:after="200"/>
      </w:pPr>
      <w:r>
        <w:rPr>
          <w:rFonts w:ascii="Times New Roman" w:cs="Times New Roman" w:eastAsia="Times New Roman" w:hAnsi="Times New Roman"/>
        </w:rPr>
        <w:t xml:space="preserve">2.1. The UK Legacy: Mass-Rate Measurement (g/h)</w:t>
      </w:r>
    </w:p>
    <w:p>
      <w:pPr>
        <w:spacing w:after="160" w:line="276"/>
      </w:pPr>
      <w:r>
        <w:rPr>
          <w:rFonts w:ascii="Times New Roman" w:cs="Times New Roman" w:eastAsia="Times New Roman" w:hAnsi="Times New Roman"/>
          <w:color w:val="2C2C2C"/>
          <w:sz w:val="24"/>
          <w:szCs w:val="24"/>
        </w:rPr>
        <w:t xml:space="preserve">The UK’s regulatory framework for domestic appliances is rooted in the Clean Air Act 1956 and operationalized via BS 3841-1:1994 and BS 3841-2:1994 (Determination of smoke emission rate).</w:t>
      </w:r>
    </w:p>
    <w:p>
      <w:pPr>
        <w:spacing w:after="160" w:line="276"/>
        <w:ind w:left="360"/>
      </w:pPr>
      <w:r>
        <w:rPr>
          <w:rFonts w:ascii="Times New Roman" w:cs="Times New Roman" w:eastAsia="Times New Roman" w:hAnsi="Times New Roman"/>
          <w:b/>
          <w:bCs/>
          <w:color w:val="1B2A4A"/>
          <w:sz w:val="24"/>
          <w:szCs w:val="24"/>
        </w:rPr>
        <w:t xml:space="preserve">The Methodology: </w:t>
      </w:r>
      <w:r>
        <w:rPr>
          <w:rFonts w:ascii="Times New Roman" w:cs="Times New Roman" w:eastAsia="Times New Roman" w:hAnsi="Times New Roman"/>
          <w:color w:val="2C2C2C"/>
          <w:sz w:val="24"/>
          <w:szCs w:val="24"/>
        </w:rPr>
        <w:t xml:space="preserve">The standard assesses appliances by measuring the mass of smoke over time (grams per hour) using an electrostatic precipitator or dilution tunnel. The legal threshold for exemption is whether the appliance operates without producing a “substantial quantity of smoke.”</w:t>
      </w:r>
    </w:p>
    <w:p>
      <w:pPr>
        <w:spacing w:after="160" w:line="276"/>
        <w:ind w:left="360"/>
      </w:pPr>
      <w:r>
        <w:rPr>
          <w:rFonts w:ascii="Times New Roman" w:cs="Times New Roman" w:eastAsia="Times New Roman" w:hAnsi="Times New Roman"/>
          <w:b/>
          <w:bCs/>
          <w:color w:val="1B2A4A"/>
          <w:sz w:val="24"/>
          <w:szCs w:val="24"/>
        </w:rPr>
        <w:t xml:space="preserve">The Limitation for Batch-Burn Appliances: </w:t>
      </w:r>
      <w:r>
        <w:rPr>
          <w:rFonts w:ascii="Times New Roman" w:cs="Times New Roman" w:eastAsia="Times New Roman" w:hAnsi="Times New Roman"/>
          <w:color w:val="2C2C2C"/>
          <w:sz w:val="24"/>
          <w:szCs w:val="24"/>
        </w:rPr>
        <w:t xml:space="preserve">Masonry heaters operate via “batch combustion.” A fuel charge of 15–25 kg is burned at high temperature (up to 900°C) over 1.5 to 2 hours to charge a masonry thermal core. During this phase, the instantaneous g/h rate appears elevated (e.g., 11.8 g/h). However, the appliance then radiates stored heat for 12–24 hours with zero further emissions.</w:t>
      </w:r>
    </w:p>
    <w:p>
      <w:pPr>
        <w:spacing w:after="160" w:line="276"/>
        <w:ind w:left="360"/>
      </w:pPr>
      <w:r>
        <w:rPr>
          <w:rFonts w:ascii="Times New Roman" w:cs="Times New Roman" w:eastAsia="Times New Roman" w:hAnsi="Times New Roman"/>
          <w:b/>
          <w:bCs/>
          <w:color w:val="1B2A4A"/>
          <w:sz w:val="24"/>
          <w:szCs w:val="24"/>
        </w:rPr>
        <w:t xml:space="preserve">The Comparative Context: </w:t>
      </w:r>
      <w:r>
        <w:rPr>
          <w:rFonts w:ascii="Times New Roman" w:cs="Times New Roman" w:eastAsia="Times New Roman" w:hAnsi="Times New Roman"/>
          <w:color w:val="2C2C2C"/>
          <w:sz w:val="24"/>
          <w:szCs w:val="24"/>
        </w:rPr>
        <w:t xml:space="preserve">Averaged over a 24-hour heat delivery cycle, a masonry heater emits approximately 0.98 g/h. A conventional (non-exempt) metal stove operated in low-burn conditions has been shown to produce significantly elevated PM levels in real-world use. While modern Defra-exempt stoves incorporate air supply limiters to prevent full damping, real-world operation of older and non-exempt appliances remains a documented concern (Tiegs, 1994; Alaska CCHRC Study, 2009).</w:t>
      </w:r>
    </w:p>
    <w:p>
      <w:pPr>
        <w:pStyle w:val="Heading2"/>
        <w:spacing w:before="300" w:after="200"/>
      </w:pPr>
      <w:r>
        <w:rPr>
          <w:rFonts w:ascii="Times New Roman" w:cs="Times New Roman" w:eastAsia="Times New Roman" w:hAnsi="Times New Roman"/>
        </w:rPr>
        <w:t xml:space="preserve">2.2. The European Best Practice: Energy-Normalized Units (mg/MJ)</w:t>
      </w:r>
    </w:p>
    <w:p>
      <w:pPr>
        <w:spacing w:after="160" w:line="276"/>
      </w:pPr>
      <w:r>
        <w:rPr>
          <w:rFonts w:ascii="Times New Roman" w:cs="Times New Roman" w:eastAsia="Times New Roman" w:hAnsi="Times New Roman"/>
          <w:color w:val="2C2C2C"/>
          <w:sz w:val="24"/>
          <w:szCs w:val="24"/>
        </w:rPr>
        <w:t xml:space="preserve">In contrast, the Austrian 15a B-VG standard evaluates emissions relative to energy output (milligrams per megajoule).</w:t>
      </w:r>
    </w:p>
    <w:p>
      <w:pPr>
        <w:spacing w:after="160" w:line="276"/>
        <w:ind w:left="360"/>
      </w:pPr>
      <w:r>
        <w:rPr>
          <w:rFonts w:ascii="Times New Roman" w:cs="Times New Roman" w:eastAsia="Times New Roman" w:hAnsi="Times New Roman"/>
          <w:b/>
          <w:bCs/>
          <w:color w:val="1B2A4A"/>
          <w:sz w:val="24"/>
          <w:szCs w:val="24"/>
        </w:rPr>
        <w:t xml:space="preserve">The Advantage: </w:t>
      </w:r>
      <w:r>
        <w:rPr>
          <w:rFonts w:ascii="Times New Roman" w:cs="Times New Roman" w:eastAsia="Times New Roman" w:hAnsi="Times New Roman"/>
          <w:color w:val="2C2C2C"/>
          <w:sz w:val="24"/>
          <w:szCs w:val="24"/>
        </w:rPr>
        <w:t xml:space="preserve">By measuring mg/MJ, the regulation assesses both combustion quality and thermal efficiency. Under this framework, appliances that deliver greater thermal output per unit of fuel consumed are assessed more favourably.</w:t>
      </w:r>
    </w:p>
    <w:p>
      <w:pPr>
        <w:spacing w:after="160" w:line="276"/>
        <w:ind w:left="360"/>
      </w:pPr>
      <w:r>
        <w:rPr>
          <w:rFonts w:ascii="Times New Roman" w:cs="Times New Roman" w:eastAsia="Times New Roman" w:hAnsi="Times New Roman"/>
          <w:b/>
          <w:bCs/>
          <w:color w:val="1B2A4A"/>
          <w:sz w:val="24"/>
          <w:szCs w:val="24"/>
        </w:rPr>
        <w:t xml:space="preserve">The German Perspective: </w:t>
      </w:r>
      <w:r>
        <w:rPr>
          <w:rFonts w:ascii="Times New Roman" w:cs="Times New Roman" w:eastAsia="Times New Roman" w:hAnsi="Times New Roman"/>
          <w:color w:val="2C2C2C"/>
          <w:sz w:val="24"/>
          <w:szCs w:val="24"/>
        </w:rPr>
        <w:t xml:space="preserve">The position paper from 850° Handwerklicher Grundofen e.V. (www.850grad.org) notes that standard type-testing (such as the 2nd stage of the 1. BImSchV) is conducted under controlled laboratory conditions. Masonry heaters, by virtue of their thermal mass design, operate through a defined batch-burn cycle. This inherent operating characteristic means that the combustion conditions observed during testing are closely replicated in normal domestic use.</w:t>
      </w:r>
    </w:p>
    <w:p>
      <w:r>
        <w:br w:type="page"/>
      </w:r>
    </w:p>
    <w:p>
      <w:pPr>
        <w:pBdr>
          <w:top w:val="single" w:color="1B2A4A" w:sz="6" w:space="4"/>
        </w:pBdr>
        <w:spacing w:before="400" w:after="80"/>
      </w:pPr>
      <w:r>
        <w:rPr>
          <w:rFonts w:ascii="Times New Roman" w:cs="Times New Roman" w:eastAsia="Times New Roman" w:hAnsi="Times New Roman"/>
          <w:b/>
          <w:bCs/>
          <w:caps/>
          <w:color w:val="C4A35A"/>
          <w:sz w:val="18"/>
          <w:szCs w:val="18"/>
        </w:rPr>
        <w:t xml:space="preserve">PART 3</w:t>
      </w:r>
    </w:p>
    <w:p>
      <w:pPr>
        <w:pStyle w:val="Heading1"/>
        <w:spacing w:after="240"/>
      </w:pPr>
      <w:r>
        <w:rPr>
          <w:rFonts w:ascii="Times New Roman" w:cs="Times New Roman" w:eastAsia="Times New Roman" w:hAnsi="Times New Roman"/>
        </w:rPr>
        <w:t xml:space="preserve">Typology of Masonry Heaters: Diverse Technologies</w:t>
      </w:r>
    </w:p>
    <w:p>
      <w:pPr>
        <w:spacing w:after="160" w:line="276"/>
      </w:pPr>
      <w:r>
        <w:rPr>
          <w:rFonts w:ascii="Times New Roman" w:cs="Times New Roman" w:eastAsia="Times New Roman" w:hAnsi="Times New Roman"/>
          <w:color w:val="2C2C2C"/>
          <w:sz w:val="24"/>
          <w:szCs w:val="24"/>
        </w:rPr>
        <w:t xml:space="preserve">A limitation of existing regulation is the treatment of all solid-fuel appliances as a single category. Masonry heater technology varies significantly by region, materials, and combustion physics.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426"/>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Swedish Kakelugn</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American Contraflow</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Austrian UmweltPlus</w:t>
            </w:r>
          </w:p>
        </w:tc>
        <w:tc>
          <w:tcPr>
            <w:tcW w:type="dxa" w:w="2426"/>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German Grundofen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color w:val="2C2C2C"/>
                <w:sz w:val="20"/>
                <w:szCs w:val="20"/>
              </w:rPr>
              <w:t xml:space="preserve">18th-century 5-channel vertical system. Defra Exemption No. 554 (Jansen/Camina). V&amp;A Museum collections.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color w:val="2C2C2C"/>
                <w:sz w:val="20"/>
                <w:szCs w:val="20"/>
              </w:rPr>
              <w:t xml:space="preserve">MHA tradition. Dense refractory cores. Lopez Labs: 0.97 g/kg baseline from 185+ test runs.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color w:val="2C2C2C"/>
                <w:sz w:val="20"/>
                <w:szCs w:val="20"/>
              </w:rPr>
              <w:t xml:space="preserve">KOV bio-combustion firebox. Meets Austrian Ecolabel UZ37. Engineered secondary air geometries.</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color w:val="2C2C2C"/>
                <w:sz w:val="20"/>
                <w:szCs w:val="20"/>
              </w:rPr>
              <w:t xml:space="preserve">Germany’s National Register of Intangible Cultural Heritage (UNESCO Convention). 850° e.V.: &gt;850°C combustion.</w:t>
            </w:r>
          </w:p>
        </w:tc>
      </w:tr>
    </w:tbl>
    <w:p>
      <w:pPr>
        <w:spacing w:after="160" w:line="276"/>
      </w:pPr>
      <w:r>
        <w:rPr>
          <w:rFonts w:ascii="Times New Roman" w:cs="Times New Roman" w:eastAsia="Times New Roman" w:hAnsi="Times New Roman"/>
          <w:color w:val="2C2C2C"/>
          <w:sz w:val="24"/>
          <w:szCs w:val="24"/>
        </w:rPr>
        <w:t xml:space="preserve"/>
      </w:r>
    </w:p>
    <w:p>
      <w:r>
        <w:br w:type="page"/>
      </w:r>
    </w:p>
    <w:p>
      <w:pPr>
        <w:pBdr>
          <w:top w:val="single" w:color="1B2A4A" w:sz="6" w:space="4"/>
        </w:pBdr>
        <w:spacing w:before="400" w:after="80"/>
      </w:pPr>
      <w:r>
        <w:rPr>
          <w:rFonts w:ascii="Times New Roman" w:cs="Times New Roman" w:eastAsia="Times New Roman" w:hAnsi="Times New Roman"/>
          <w:b/>
          <w:bCs/>
          <w:caps/>
          <w:color w:val="C4A35A"/>
          <w:sz w:val="18"/>
          <w:szCs w:val="18"/>
        </w:rPr>
        <w:t xml:space="preserve">PART 4</w:t>
      </w:r>
    </w:p>
    <w:p>
      <w:pPr>
        <w:pStyle w:val="Heading1"/>
        <w:spacing w:after="240"/>
      </w:pPr>
      <w:r>
        <w:rPr>
          <w:rFonts w:ascii="Times New Roman" w:cs="Times New Roman" w:eastAsia="Times New Roman" w:hAnsi="Times New Roman"/>
        </w:rPr>
        <w:t xml:space="preserve">Scientific Evidence Review</w:t>
      </w:r>
    </w:p>
    <w:p>
      <w:pPr>
        <w:pStyle w:val="Heading2"/>
        <w:spacing w:before="300" w:after="200"/>
      </w:pPr>
      <w:r>
        <w:rPr>
          <w:rFonts w:ascii="Times New Roman" w:cs="Times New Roman" w:eastAsia="Times New Roman" w:hAnsi="Times New Roman"/>
        </w:rPr>
        <w:t xml:space="preserve">4.1. The Ricardo Evidence Review for Defra (2022)</w:t>
      </w:r>
    </w:p>
    <w:p>
      <w:pPr>
        <w:spacing w:after="160" w:line="276"/>
        <w:ind w:left="360"/>
      </w:pPr>
      <w:r>
        <w:rPr>
          <w:rFonts w:ascii="Times New Roman" w:cs="Times New Roman" w:eastAsia="Times New Roman" w:hAnsi="Times New Roman"/>
          <w:b/>
          <w:bCs/>
          <w:color w:val="1B2A4A"/>
          <w:sz w:val="24"/>
          <w:szCs w:val="24"/>
        </w:rPr>
        <w:t xml:space="preserve">Finding: </w:t>
      </w:r>
      <w:r>
        <w:rPr>
          <w:rFonts w:ascii="Times New Roman" w:cs="Times New Roman" w:eastAsia="Times New Roman" w:hAnsi="Times New Roman"/>
          <w:color w:val="2C2C2C"/>
          <w:sz w:val="24"/>
          <w:szCs w:val="24"/>
        </w:rPr>
        <w:t xml:space="preserve">The Ricardo report (Project RDE002) confirmed that the EU Ecodesign “heated filter” method likely understates PM₂.₅ emissions because it does not capture the “condensable” fraction of smoke.</w:t>
      </w:r>
    </w:p>
    <w:p>
      <w:pPr>
        <w:spacing w:after="160" w:line="276"/>
        <w:ind w:left="360"/>
      </w:pPr>
      <w:r>
        <w:rPr>
          <w:rFonts w:ascii="Times New Roman" w:cs="Times New Roman" w:eastAsia="Times New Roman" w:hAnsi="Times New Roman"/>
          <w:b/>
          <w:bCs/>
          <w:color w:val="1B2A4A"/>
          <w:sz w:val="24"/>
          <w:szCs w:val="24"/>
        </w:rPr>
        <w:t xml:space="preserve">Relevance to Masonry Heaters: </w:t>
      </w:r>
      <w:r>
        <w:rPr>
          <w:rFonts w:ascii="Times New Roman" w:cs="Times New Roman" w:eastAsia="Times New Roman" w:hAnsi="Times New Roman"/>
          <w:color w:val="2C2C2C"/>
          <w:sz w:val="24"/>
          <w:szCs w:val="24"/>
        </w:rPr>
        <w:t xml:space="preserve">UK Dilution Tunnel methods (BS 3841) capture total PM (filterable + condensable). Because masonry heaters with well-designed fireboxes operate at high temperatures, the high combustion temperatures significantly reduce condensable VOC formation within the firebox. Published data from Lopez Labs and Finnish VTT indicates that the total PM profile of well-designed masonry heaters is substantially lower than that of conventional continuous-burn appliances operated under typical domestic conditions.</w:t>
      </w:r>
    </w:p>
    <w:p>
      <w:pPr>
        <w:pStyle w:val="Heading2"/>
        <w:spacing w:before="300" w:after="200"/>
      </w:pPr>
      <w:r>
        <w:rPr>
          <w:rFonts w:ascii="Times New Roman" w:cs="Times New Roman" w:eastAsia="Times New Roman" w:hAnsi="Times New Roman"/>
        </w:rPr>
        <w:t xml:space="preserve">4.2. Test Cycle Comparison</w:t>
      </w:r>
    </w:p>
    <w:p>
      <w:pPr>
        <w:spacing w:after="160" w:line="276"/>
        <w:ind w:left="360"/>
      </w:pPr>
      <w:r>
        <w:rPr>
          <w:rFonts w:ascii="Times New Roman" w:cs="Times New Roman" w:eastAsia="Times New Roman" w:hAnsi="Times New Roman"/>
          <w:b/>
          <w:bCs/>
          <w:color w:val="1B2A4A"/>
          <w:sz w:val="24"/>
          <w:szCs w:val="24"/>
        </w:rPr>
        <w:t xml:space="preserve">Steady-State (EU Ecodesign): </w:t>
      </w:r>
      <w:r>
        <w:rPr>
          <w:rFonts w:ascii="Times New Roman" w:cs="Times New Roman" w:eastAsia="Times New Roman" w:hAnsi="Times New Roman"/>
          <w:color w:val="2C2C2C"/>
          <w:sz w:val="24"/>
          <w:szCs w:val="24"/>
        </w:rPr>
        <w:t xml:space="preserve">Misses startup and cooldown phases, rendering it unrepresentative of real-life operation (DBFZ Report Nr. 3).</w:t>
      </w:r>
    </w:p>
    <w:p>
      <w:pPr>
        <w:spacing w:after="160" w:line="276"/>
        <w:ind w:left="360"/>
      </w:pPr>
      <w:r>
        <w:rPr>
          <w:rFonts w:ascii="Times New Roman" w:cs="Times New Roman" w:eastAsia="Times New Roman" w:hAnsi="Times New Roman"/>
          <w:b/>
          <w:bCs/>
          <w:color w:val="1B2A4A"/>
          <w:sz w:val="24"/>
          <w:szCs w:val="24"/>
        </w:rPr>
        <w:t xml:space="preserve">Hot-to-Hot (US EPA M28A): </w:t>
      </w:r>
      <w:r>
        <w:rPr>
          <w:rFonts w:ascii="Times New Roman" w:cs="Times New Roman" w:eastAsia="Times New Roman" w:hAnsi="Times New Roman"/>
          <w:color w:val="2C2C2C"/>
          <w:sz w:val="24"/>
          <w:szCs w:val="24"/>
        </w:rPr>
        <w:t xml:space="preserve">Misses approximately 33% of real-world emissions by testing from an already-hot coal bed (Shelton, 1986).</w:t>
      </w:r>
    </w:p>
    <w:p>
      <w:pPr>
        <w:spacing w:after="160" w:line="276"/>
        <w:ind w:left="360"/>
      </w:pPr>
      <w:r>
        <w:rPr>
          <w:rFonts w:ascii="Times New Roman" w:cs="Times New Roman" w:eastAsia="Times New Roman" w:hAnsi="Times New Roman"/>
          <w:b/>
          <w:bCs/>
          <w:color w:val="1B2A4A"/>
          <w:sz w:val="24"/>
          <w:szCs w:val="24"/>
        </w:rPr>
        <w:t xml:space="preserve">Cold-to-Cold (Lopez Labs / MH Testing): </w:t>
      </w:r>
      <w:r>
        <w:rPr>
          <w:rFonts w:ascii="Times New Roman" w:cs="Times New Roman" w:eastAsia="Times New Roman" w:hAnsi="Times New Roman"/>
          <w:color w:val="2C2C2C"/>
          <w:sz w:val="24"/>
          <w:szCs w:val="24"/>
        </w:rPr>
        <w:t xml:space="preserve">Captures the entire cycle, including the highest-emission cold startup phase. Despite this rigorous standard, masonry heaters still average sub-1.0 g/kg emissions.</w:t>
      </w:r>
    </w:p>
    <w:p>
      <w:r>
        <w:br w:type="page"/>
      </w:r>
    </w:p>
    <w:p>
      <w:pPr>
        <w:pBdr>
          <w:top w:val="single" w:color="1B2A4A" w:sz="6" w:space="4"/>
        </w:pBdr>
        <w:spacing w:before="400" w:after="80"/>
      </w:pPr>
      <w:r>
        <w:rPr>
          <w:rFonts w:ascii="Times New Roman" w:cs="Times New Roman" w:eastAsia="Times New Roman" w:hAnsi="Times New Roman"/>
          <w:b/>
          <w:bCs/>
          <w:caps/>
          <w:color w:val="C4A35A"/>
          <w:sz w:val="18"/>
          <w:szCs w:val="18"/>
        </w:rPr>
        <w:t xml:space="preserve">PART 5</w:t>
      </w:r>
    </w:p>
    <w:p>
      <w:pPr>
        <w:pStyle w:val="Heading1"/>
        <w:spacing w:after="240"/>
      </w:pPr>
      <w:r>
        <w:rPr>
          <w:rFonts w:ascii="Times New Roman" w:cs="Times New Roman" w:eastAsia="Times New Roman" w:hAnsi="Times New Roman"/>
        </w:rPr>
        <w:t xml:space="preserve">The Legal and Standards Framework</w:t>
      </w:r>
    </w:p>
    <w:p>
      <w:pPr>
        <w:spacing w:after="160" w:line="276"/>
      </w:pPr>
      <w:r>
        <w:rPr>
          <w:rFonts w:ascii="Times New Roman" w:cs="Times New Roman" w:eastAsia="Times New Roman" w:hAnsi="Times New Roman"/>
          <w:color w:val="2C2C2C"/>
          <w:sz w:val="24"/>
          <w:szCs w:val="24"/>
        </w:rPr>
        <w:t xml:space="preserve">The UK does not need to draft new standards; the required technical frameworks have already been adopted by the British Standards Institution (BSI).</w:t>
      </w:r>
    </w:p>
    <w:p>
      <w:pPr>
        <w:pStyle w:val="Heading2"/>
        <w:spacing w:before="300" w:after="200"/>
      </w:pPr>
      <w:r>
        <w:rPr>
          <w:rFonts w:ascii="Times New Roman" w:cs="Times New Roman" w:eastAsia="Times New Roman" w:hAnsi="Times New Roman"/>
        </w:rPr>
        <w:t xml:space="preserve">5.1. BS EN 15250:2007 — Slow Heat Release Appliances</w:t>
      </w:r>
    </w:p>
    <w:p>
      <w:pPr>
        <w:spacing w:after="160" w:line="276"/>
      </w:pPr>
      <w:r>
        <w:rPr>
          <w:rFonts w:ascii="Times New Roman" w:cs="Times New Roman" w:eastAsia="Times New Roman" w:hAnsi="Times New Roman"/>
          <w:color w:val="2C2C2C"/>
          <w:sz w:val="24"/>
          <w:szCs w:val="24"/>
        </w:rPr>
        <w:t xml:space="preserve">Unlike standard stoves, masonry heaters are classified under BS EN 15250. This standard mandates that manufacturers declare the “thermal storage capacity” of the mass, creating a clear legal distinction from continuous-burn metal stoves.</w:t>
      </w:r>
    </w:p>
    <w:p>
      <w:pPr>
        <w:pStyle w:val="Heading2"/>
        <w:spacing w:before="300" w:after="200"/>
      </w:pPr>
      <w:r>
        <w:rPr>
          <w:rFonts w:ascii="Times New Roman" w:cs="Times New Roman" w:eastAsia="Times New Roman" w:hAnsi="Times New Roman"/>
        </w:rPr>
        <w:t xml:space="preserve">5.2. BS EN 15544:2009/2023 — Certification by Calculation</w:t>
      </w:r>
    </w:p>
    <w:p>
      <w:pPr>
        <w:spacing w:after="160" w:line="276"/>
      </w:pPr>
      <w:r>
        <w:rPr>
          <w:rFonts w:ascii="Times New Roman" w:cs="Times New Roman" w:eastAsia="Times New Roman" w:hAnsi="Times New Roman"/>
          <w:color w:val="2C2C2C"/>
          <w:sz w:val="24"/>
          <w:szCs w:val="24"/>
        </w:rPr>
        <w:t xml:space="preserve">BS EN 15544 provides a calculation method for “one-off mortared stoves.” If an artisan adheres to the specific dimensioning rules — firebox surface area, flue channel length, air intake cross-sections ensuring gas speeds of 2–4 m/s — the appliance is proven to achieve: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c>
          <w:tcPr>
            <w:tcW w:type="dxa" w:w="2256"/>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Dust (PM)</w:t>
            </w:r>
          </w:p>
        </w:tc>
        <w:tc>
          <w:tcPr>
            <w:tcW w:type="dxa" w:w="2256"/>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CO</w:t>
            </w:r>
          </w:p>
        </w:tc>
        <w:tc>
          <w:tcPr>
            <w:tcW w:type="dxa" w:w="2256"/>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NOx</w:t>
            </w:r>
          </w:p>
        </w:tc>
        <w:tc>
          <w:tcPr>
            <w:tcW w:type="dxa" w:w="2258"/>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Efficiency</w:t>
            </w:r>
          </w:p>
        </w:tc>
      </w:tr>
      <w:tr>
        <w:tc>
          <w:tcPr>
            <w:tcW w:type="dxa" w:w="2256"/>
            <w:tcBorders>
              <w:top w:val="single" w:color="CCCCCC" w:sz="1"/>
              <w:left w:val="single" w:color="CCCCCC" w:sz="1"/>
              <w:bottom w:val="single" w:color="CCCCCC" w:sz="1"/>
              <w:right w:val="single" w:color="CCCCCC" w:sz="1"/>
            </w:tcBorders>
            <w:shd w:fill="F5F3F0" w:val="clear"/>
            <w:tcMar>
              <w:top w:type="dxa" w:w="80"/>
              <w:left w:type="dxa" w:w="120"/>
              <w:bottom w:type="dxa" w:w="80"/>
              <w:right w:type="dxa" w:w="120"/>
            </w:tcMar>
          </w:tcPr>
          <w:p>
            <w:r>
              <w:rPr>
                <w:rFonts w:ascii="Times New Roman" w:cs="Times New Roman" w:eastAsia="Times New Roman" w:hAnsi="Times New Roman"/>
                <w:b/>
                <w:bCs/>
                <w:color w:val="1B2A4A"/>
                <w:sz w:val="20"/>
                <w:szCs w:val="20"/>
              </w:rPr>
              <w:t xml:space="preserve">≤60 mg/MJ</w:t>
            </w:r>
          </w:p>
        </w:tc>
        <w:tc>
          <w:tcPr>
            <w:tcW w:type="dxa" w:w="2256"/>
            <w:tcBorders>
              <w:top w:val="single" w:color="CCCCCC" w:sz="1"/>
              <w:left w:val="single" w:color="CCCCCC" w:sz="1"/>
              <w:bottom w:val="single" w:color="CCCCCC" w:sz="1"/>
              <w:right w:val="single" w:color="CCCCCC" w:sz="1"/>
            </w:tcBorders>
            <w:shd w:fill="F5F3F0" w:val="clear"/>
            <w:tcMar>
              <w:top w:type="dxa" w:w="80"/>
              <w:left w:type="dxa" w:w="120"/>
              <w:bottom w:type="dxa" w:w="80"/>
              <w:right w:type="dxa" w:w="120"/>
            </w:tcMar>
          </w:tcPr>
          <w:p>
            <w:r>
              <w:rPr>
                <w:rFonts w:ascii="Times New Roman" w:cs="Times New Roman" w:eastAsia="Times New Roman" w:hAnsi="Times New Roman"/>
                <w:b/>
                <w:bCs/>
                <w:color w:val="1B2A4A"/>
                <w:sz w:val="20"/>
                <w:szCs w:val="20"/>
              </w:rPr>
              <w:t xml:space="preserve">≤1000 mg/MJ</w:t>
            </w:r>
          </w:p>
        </w:tc>
        <w:tc>
          <w:tcPr>
            <w:tcW w:type="dxa" w:w="2256"/>
            <w:tcBorders>
              <w:top w:val="single" w:color="CCCCCC" w:sz="1"/>
              <w:left w:val="single" w:color="CCCCCC" w:sz="1"/>
              <w:bottom w:val="single" w:color="CCCCCC" w:sz="1"/>
              <w:right w:val="single" w:color="CCCCCC" w:sz="1"/>
            </w:tcBorders>
            <w:shd w:fill="F5F3F0" w:val="clear"/>
            <w:tcMar>
              <w:top w:type="dxa" w:w="80"/>
              <w:left w:type="dxa" w:w="120"/>
              <w:bottom w:type="dxa" w:w="80"/>
              <w:right w:type="dxa" w:w="120"/>
            </w:tcMar>
          </w:tcPr>
          <w:p>
            <w:r>
              <w:rPr>
                <w:rFonts w:ascii="Times New Roman" w:cs="Times New Roman" w:eastAsia="Times New Roman" w:hAnsi="Times New Roman"/>
                <w:b/>
                <w:bCs/>
                <w:color w:val="1B2A4A"/>
                <w:sz w:val="20"/>
                <w:szCs w:val="20"/>
              </w:rPr>
              <w:t xml:space="preserve">≤150 mg/MJ</w:t>
            </w:r>
          </w:p>
        </w:tc>
        <w:tc>
          <w:tcPr>
            <w:tcW w:type="dxa" w:w="2258"/>
            <w:tcBorders>
              <w:top w:val="single" w:color="CCCCCC" w:sz="1"/>
              <w:left w:val="single" w:color="CCCCCC" w:sz="1"/>
              <w:bottom w:val="single" w:color="CCCCCC" w:sz="1"/>
              <w:right w:val="single" w:color="CCCCCC" w:sz="1"/>
            </w:tcBorders>
            <w:shd w:fill="F5F3F0" w:val="clear"/>
            <w:tcMar>
              <w:top w:type="dxa" w:w="80"/>
              <w:left w:type="dxa" w:w="120"/>
              <w:bottom w:type="dxa" w:w="80"/>
              <w:right w:type="dxa" w:w="120"/>
            </w:tcMar>
          </w:tcPr>
          <w:p>
            <w:r>
              <w:rPr>
                <w:rFonts w:ascii="Times New Roman" w:cs="Times New Roman" w:eastAsia="Times New Roman" w:hAnsi="Times New Roman"/>
                <w:b/>
                <w:bCs/>
                <w:color w:val="1B2A4A"/>
                <w:sz w:val="20"/>
                <w:szCs w:val="20"/>
              </w:rPr>
              <w:t xml:space="preserve">≥78%</w:t>
            </w:r>
          </w:p>
        </w:tc>
      </w:tr>
    </w:tbl>
    <w:p>
      <w:pPr>
        <w:spacing w:after="160" w:line="276"/>
      </w:pPr>
      <w:r>
        <w:rPr>
          <w:rFonts w:ascii="Times New Roman" w:cs="Times New Roman" w:eastAsia="Times New Roman" w:hAnsi="Times New Roman"/>
          <w:color w:val="2C2C2C"/>
          <w:sz w:val="24"/>
          <w:szCs w:val="24"/>
        </w:rPr>
        <w:t xml:space="preserve"/>
      </w:r>
    </w:p>
    <w:p>
      <w:pPr>
        <w:spacing w:after="160" w:line="276"/>
        <w:ind w:left="360"/>
      </w:pPr>
      <w:r>
        <w:rPr>
          <w:rFonts w:ascii="Times New Roman" w:cs="Times New Roman" w:eastAsia="Times New Roman" w:hAnsi="Times New Roman"/>
          <w:b/>
          <w:bCs/>
          <w:color w:val="1B2A4A"/>
          <w:sz w:val="24"/>
          <w:szCs w:val="24"/>
        </w:rPr>
        <w:t xml:space="preserve">The Austrian Legal Precedent: </w:t>
      </w:r>
      <w:r>
        <w:rPr>
          <w:rFonts w:ascii="Times New Roman" w:cs="Times New Roman" w:eastAsia="Times New Roman" w:hAnsi="Times New Roman"/>
          <w:color w:val="2C2C2C"/>
          <w:sz w:val="24"/>
          <w:szCs w:val="24"/>
        </w:rPr>
        <w:t xml:space="preserve">Under Austrian 15a B-VG law, this calculation is legally equivalent to physical laboratory type-testing. This zero-cost regulatory pathway enables artisanal builders to demonstrate compliance without the £10,000+ cost of physical lab testing for bespoke, site-built heaters.</w:t>
      </w:r>
    </w:p>
    <w:p>
      <w:r>
        <w:br w:type="page"/>
      </w:r>
    </w:p>
    <w:p>
      <w:pPr>
        <w:pBdr>
          <w:top w:val="single" w:color="1B2A4A" w:sz="6" w:space="4"/>
        </w:pBdr>
        <w:spacing w:before="400" w:after="80"/>
      </w:pPr>
      <w:r>
        <w:rPr>
          <w:rFonts w:ascii="Times New Roman" w:cs="Times New Roman" w:eastAsia="Times New Roman" w:hAnsi="Times New Roman"/>
          <w:b/>
          <w:bCs/>
          <w:caps/>
          <w:color w:val="C4A35A"/>
          <w:sz w:val="18"/>
          <w:szCs w:val="18"/>
        </w:rPr>
        <w:t xml:space="preserve">PART 6</w:t>
      </w:r>
    </w:p>
    <w:p>
      <w:pPr>
        <w:pStyle w:val="Heading1"/>
        <w:spacing w:after="240"/>
      </w:pPr>
      <w:r>
        <w:rPr>
          <w:rFonts w:ascii="Times New Roman" w:cs="Times New Roman" w:eastAsia="Times New Roman" w:hAnsi="Times New Roman"/>
        </w:rPr>
        <w:t xml:space="preserve">Global Jurisdictional Precedents</w:t>
      </w:r>
    </w:p>
    <w:p>
      <w:pPr>
        <w:spacing w:after="160" w:line="276"/>
      </w:pPr>
      <w:r>
        <w:rPr>
          <w:rFonts w:ascii="Times New Roman" w:cs="Times New Roman" w:eastAsia="Times New Roman" w:hAnsi="Times New Roman"/>
          <w:color w:val="2C2C2C"/>
          <w:sz w:val="24"/>
          <w:szCs w:val="24"/>
        </w:rPr>
        <w:t xml:space="preserve">A comparative analysis indicates that the UK is an outlier in its approach to high-mass thermal appliances. Austria, France, Germany, the Nordic countries, and the United States all provide regulatory pathways — whether through calculation-based certification, mass-based exemptions, or explicit categories for slow heat release appliances. The UK currently has none.</w:t>
      </w:r>
    </w:p>
    <w:p>
      <w:pPr>
        <w:pBdr>
          <w:top w:val="single" w:color="1B2A4A" w:sz="6" w:space="4"/>
        </w:pBdr>
        <w:spacing w:before="400" w:after="80"/>
      </w:pPr>
      <w:r>
        <w:rPr>
          <w:rFonts w:ascii="Times New Roman" w:cs="Times New Roman" w:eastAsia="Times New Roman" w:hAnsi="Times New Roman"/>
          <w:b/>
          <w:bCs/>
          <w:caps/>
          <w:color w:val="C4A35A"/>
          <w:sz w:val="18"/>
          <w:szCs w:val="18"/>
        </w:rPr>
        <w:t xml:space="preserve">PART 7</w:t>
      </w:r>
    </w:p>
    <w:p>
      <w:pPr>
        <w:pStyle w:val="Heading1"/>
        <w:spacing w:after="240"/>
      </w:pPr>
      <w:r>
        <w:rPr>
          <w:rFonts w:ascii="Times New Roman" w:cs="Times New Roman" w:eastAsia="Times New Roman" w:hAnsi="Times New Roman"/>
        </w:rPr>
        <w:t xml:space="preserve">The “French Model” — A Roadmap for the UK</w:t>
      </w:r>
    </w:p>
    <w:p>
      <w:pPr>
        <w:spacing w:after="160" w:line="276"/>
      </w:pPr>
      <w:r>
        <w:rPr>
          <w:rFonts w:ascii="Times New Roman" w:cs="Times New Roman" w:eastAsia="Times New Roman" w:hAnsi="Times New Roman"/>
          <w:color w:val="2C2C2C"/>
          <w:sz w:val="24"/>
          <w:szCs w:val="24"/>
        </w:rPr>
        <w:t xml:space="preserve">In 2013, France had zero regulatory recognition for masonry heaters. Today, thanks to the AFPMA (Association Française du Poêle Maçonné Artisanal), approximately 1,000 subsidized heaters are installed annually. The UK could follow a similar pathway:</w:t>
      </w:r>
    </w:p>
    <w:p>
      <w:pPr>
        <w:spacing w:after="160" w:line="276"/>
        <w:ind w:left="360"/>
      </w:pPr>
      <w:r>
        <w:rPr>
          <w:rFonts w:ascii="Times New Roman" w:cs="Times New Roman" w:eastAsia="Times New Roman" w:hAnsi="Times New Roman"/>
          <w:b/>
          <w:bCs/>
          <w:color w:val="1B2A4A"/>
          <w:sz w:val="24"/>
          <w:szCs w:val="24"/>
        </w:rPr>
        <w:t xml:space="preserve">Step 1 — Establish the UKMHA: </w:t>
      </w:r>
      <w:r>
        <w:rPr>
          <w:rFonts w:ascii="Times New Roman" w:cs="Times New Roman" w:eastAsia="Times New Roman" w:hAnsi="Times New Roman"/>
          <w:color w:val="2C2C2C"/>
          <w:sz w:val="24"/>
          <w:szCs w:val="24"/>
        </w:rPr>
        <w:t xml:space="preserve">Form a UK Masonry Heater Association to interface with Defra, BSI, and HETAS.</w:t>
      </w:r>
    </w:p>
    <w:p>
      <w:pPr>
        <w:spacing w:after="160" w:line="276"/>
        <w:ind w:left="360"/>
      </w:pPr>
      <w:r>
        <w:rPr>
          <w:rFonts w:ascii="Times New Roman" w:cs="Times New Roman" w:eastAsia="Times New Roman" w:hAnsi="Times New Roman"/>
          <w:b/>
          <w:bCs/>
          <w:color w:val="1B2A4A"/>
          <w:sz w:val="24"/>
          <w:szCs w:val="24"/>
        </w:rPr>
        <w:t xml:space="preserve">Step 2 — Recognise BS EN 15544: </w:t>
      </w:r>
      <w:r>
        <w:rPr>
          <w:rFonts w:ascii="Times New Roman" w:cs="Times New Roman" w:eastAsia="Times New Roman" w:hAnsi="Times New Roman"/>
          <w:color w:val="2C2C2C"/>
          <w:sz w:val="24"/>
          <w:szCs w:val="24"/>
        </w:rPr>
        <w:t xml:space="preserve">Defra should consider formally accepting the calculation method as valid evidence for Smoke Control Area exemptions, providing a pathway for site-built units.</w:t>
      </w:r>
    </w:p>
    <w:p>
      <w:pPr>
        <w:spacing w:after="160" w:line="276"/>
        <w:ind w:left="360"/>
      </w:pPr>
      <w:r>
        <w:rPr>
          <w:rFonts w:ascii="Times New Roman" w:cs="Times New Roman" w:eastAsia="Times New Roman" w:hAnsi="Times New Roman"/>
          <w:b/>
          <w:bCs/>
          <w:color w:val="1B2A4A"/>
          <w:sz w:val="24"/>
          <w:szCs w:val="24"/>
        </w:rPr>
        <w:t xml:space="preserve">Step 3 — Partner with HETAS: </w:t>
      </w:r>
      <w:r>
        <w:rPr>
          <w:rFonts w:ascii="Times New Roman" w:cs="Times New Roman" w:eastAsia="Times New Roman" w:hAnsi="Times New Roman"/>
          <w:color w:val="2C2C2C"/>
          <w:sz w:val="24"/>
          <w:szCs w:val="24"/>
        </w:rPr>
        <w:t xml:space="preserve">Utilise the existing HETAS infrastructure to create a “Poêlier” (Masonry Heater Builder) certification, mirroring the French CQP.</w:t>
      </w:r>
    </w:p>
    <w:p>
      <w:pPr>
        <w:spacing w:after="160" w:line="276"/>
        <w:ind w:left="360"/>
      </w:pPr>
      <w:r>
        <w:rPr>
          <w:rFonts w:ascii="Times New Roman" w:cs="Times New Roman" w:eastAsia="Times New Roman" w:hAnsi="Times New Roman"/>
          <w:b/>
          <w:bCs/>
          <w:color w:val="1B2A4A"/>
          <w:sz w:val="24"/>
          <w:szCs w:val="24"/>
        </w:rPr>
        <w:t xml:space="preserve">Step 4 — Deploy FIRECALC: </w:t>
      </w:r>
      <w:r>
        <w:rPr>
          <w:rFonts w:ascii="Times New Roman" w:cs="Times New Roman" w:eastAsia="Times New Roman" w:hAnsi="Times New Roman"/>
          <w:color w:val="2C2C2C"/>
          <w:sz w:val="24"/>
          <w:szCs w:val="24"/>
        </w:rPr>
        <w:t xml:space="preserve">Utilise the calculation software developed by the AFPMA to certify complex contraflow and bell systems to UK building standards.</w:t>
      </w:r>
    </w:p>
    <w:p>
      <w:r>
        <w:br w:type="page"/>
      </w:r>
    </w:p>
    <w:p>
      <w:pPr>
        <w:pBdr>
          <w:top w:val="single" w:color="1B2A4A" w:sz="6" w:space="4"/>
        </w:pBdr>
        <w:spacing w:before="400" w:after="80"/>
      </w:pPr>
      <w:r>
        <w:rPr>
          <w:rFonts w:ascii="Times New Roman" w:cs="Times New Roman" w:eastAsia="Times New Roman" w:hAnsi="Times New Roman"/>
          <w:b/>
          <w:bCs/>
          <w:caps/>
          <w:color w:val="C4A35A"/>
          <w:sz w:val="18"/>
          <w:szCs w:val="18"/>
        </w:rPr>
        <w:t xml:space="preserve">PART 8</w:t>
      </w:r>
    </w:p>
    <w:p>
      <w:pPr>
        <w:pStyle w:val="Heading1"/>
        <w:spacing w:after="240"/>
      </w:pPr>
      <w:r>
        <w:rPr>
          <w:rFonts w:ascii="Times New Roman" w:cs="Times New Roman" w:eastAsia="Times New Roman" w:hAnsi="Times New Roman"/>
        </w:rPr>
        <w:t xml:space="preserve">Analysis of the “850° Grundofen” Position</w:t>
      </w:r>
    </w:p>
    <w:p>
      <w:pPr>
        <w:spacing w:after="160" w:line="276"/>
      </w:pPr>
      <w:r>
        <w:rPr>
          <w:rFonts w:ascii="Times New Roman" w:cs="Times New Roman" w:eastAsia="Times New Roman" w:hAnsi="Times New Roman"/>
          <w:color w:val="2C2C2C"/>
          <w:sz w:val="24"/>
          <w:szCs w:val="24"/>
        </w:rPr>
        <w:t xml:space="preserve">The German association 850° Handwerklicher Grundofen e.V. raises important considerations for Defra regarding the 2026 Consultation. Their position paper examines the gap between laboratory test conditions and real-world appliance operation:</w:t>
      </w:r>
    </w:p>
    <w:p>
      <w:pPr>
        <w:spacing w:after="160" w:line="276"/>
        <w:ind w:left="360"/>
      </w:pPr>
      <w:r>
        <w:rPr>
          <w:rFonts w:ascii="Times New Roman" w:cs="Times New Roman" w:eastAsia="Times New Roman" w:hAnsi="Times New Roman"/>
          <w:b/>
          <w:bCs/>
          <w:color w:val="1B2A4A"/>
          <w:sz w:val="24"/>
          <w:szCs w:val="24"/>
        </w:rPr>
        <w:t xml:space="preserve">Lab vs. Reality: </w:t>
      </w:r>
      <w:r>
        <w:rPr>
          <w:rFonts w:ascii="Times New Roman" w:cs="Times New Roman" w:eastAsia="Times New Roman" w:hAnsi="Times New Roman"/>
          <w:color w:val="2C2C2C"/>
          <w:sz w:val="24"/>
          <w:szCs w:val="24"/>
        </w:rPr>
        <w:t xml:space="preserve">Type-testing for standard stoves (such as the UK’s proposed 1 g/h limit or Germany’s 1. BImSchV) is conducted under controlled conditions with seasoned wood, calibrated drafts, and trained operators. In typical domestic use, operator behaviour can significantly affect emissions performance.</w:t>
      </w:r>
    </w:p>
    <w:p>
      <w:pPr>
        <w:spacing w:after="160" w:line="276"/>
        <w:ind w:left="360"/>
      </w:pPr>
      <w:r>
        <w:rPr>
          <w:rFonts w:ascii="Times New Roman" w:cs="Times New Roman" w:eastAsia="Times New Roman" w:hAnsi="Times New Roman"/>
          <w:b/>
          <w:bCs/>
          <w:color w:val="1B2A4A"/>
          <w:sz w:val="24"/>
          <w:szCs w:val="24"/>
        </w:rPr>
        <w:t xml:space="preserve">Operating Characteristics: </w:t>
      </w:r>
      <w:r>
        <w:rPr>
          <w:rFonts w:ascii="Times New Roman" w:cs="Times New Roman" w:eastAsia="Times New Roman" w:hAnsi="Times New Roman"/>
          <w:color w:val="2C2C2C"/>
          <w:sz w:val="24"/>
          <w:szCs w:val="24"/>
        </w:rPr>
        <w:t xml:space="preserve">A single-batch masonry heater significantly reduces operator variability. The combustion air supply is determined by the heater’s design geometry, not by user adjustment. The fuel charge burns at high temperature (typically 700–900°C) through a complete cycle without requiring the door to be reopened for refuelling — reducing both indoor particulate exposure and the potential for incomplete combustion. Published evidence indicates that the real-world emissions of well-designed masonry heaters are substantially lower than those of conventional stoves under typical domestic operating conditions, even where both appliance types meet laboratory test standards.</w:t>
      </w:r>
    </w:p>
    <w:p>
      <w:pPr>
        <w:pBdr>
          <w:top w:val="single" w:color="1B2A4A" w:sz="6" w:space="4"/>
        </w:pBdr>
        <w:spacing w:before="400" w:after="80"/>
      </w:pPr>
      <w:r>
        <w:rPr>
          <w:rFonts w:ascii="Times New Roman" w:cs="Times New Roman" w:eastAsia="Times New Roman" w:hAnsi="Times New Roman"/>
          <w:b/>
          <w:bCs/>
          <w:caps/>
          <w:color w:val="C4A35A"/>
          <w:sz w:val="18"/>
          <w:szCs w:val="18"/>
        </w:rPr>
        <w:t xml:space="preserve">PART 9</w:t>
      </w:r>
    </w:p>
    <w:p>
      <w:pPr>
        <w:pStyle w:val="Heading1"/>
        <w:spacing w:after="240"/>
      </w:pPr>
      <w:r>
        <w:rPr>
          <w:rFonts w:ascii="Times New Roman" w:cs="Times New Roman" w:eastAsia="Times New Roman" w:hAnsi="Times New Roman"/>
        </w:rPr>
        <w:t xml:space="preserve">Statutory Recommendations for Defra (2026)</w:t>
      </w:r>
    </w:p>
    <w:p>
      <w:pPr>
        <w:spacing w:after="160" w:line="276"/>
      </w:pPr>
      <w:r>
        <w:rPr>
          <w:rFonts w:ascii="Times New Roman" w:cs="Times New Roman" w:eastAsia="Times New Roman" w:hAnsi="Times New Roman"/>
          <w:color w:val="2C2C2C"/>
          <w:sz w:val="24"/>
          <w:szCs w:val="24"/>
        </w:rPr>
        <w:t xml:space="preserve">The following recommendations are submitted for consideration within the 2026 Consultation timeframe. The objective is to meet the UK’s Air Quality targets (a 1.08 kilotonne abatement of PM₂.₅ by 2036) while supporting sustainable, low-carbon domestic heating:</w:t>
      </w:r>
    </w:p>
    <w:p>
      <w:pPr>
        <w:spacing w:after="160" w:line="276"/>
        <w:ind w:left="360"/>
      </w:pPr>
      <w:r>
        <w:rPr>
          <w:rFonts w:ascii="Times New Roman" w:cs="Times New Roman" w:eastAsia="Times New Roman" w:hAnsi="Times New Roman"/>
          <w:b/>
          <w:bCs/>
          <w:color w:val="1B2A4A"/>
          <w:sz w:val="24"/>
          <w:szCs w:val="24"/>
        </w:rPr>
        <w:t xml:space="preserve">Recommendation 1 — Acknowledge Historic Precedent: </w:t>
      </w:r>
      <w:r>
        <w:rPr>
          <w:rFonts w:ascii="Times New Roman" w:cs="Times New Roman" w:eastAsia="Times New Roman" w:hAnsi="Times New Roman"/>
          <w:color w:val="2C2C2C"/>
          <w:sz w:val="24"/>
          <w:szCs w:val="24"/>
        </w:rPr>
        <w:t xml:space="preserve">Acknowledge that multi-channel, high-mass masonry heaters have already been tested and exempted (Ref: Defra Exemption No. 554, Jansen Design / Camina), demonstrating their viability in UK Smoke Control Areas.</w:t>
      </w:r>
    </w:p>
    <w:p>
      <w:pPr>
        <w:spacing w:after="160" w:line="276"/>
        <w:ind w:left="360"/>
      </w:pPr>
      <w:r>
        <w:rPr>
          <w:rFonts w:ascii="Times New Roman" w:cs="Times New Roman" w:eastAsia="Times New Roman" w:hAnsi="Times New Roman"/>
          <w:b/>
          <w:bCs/>
          <w:color w:val="1B2A4A"/>
          <w:sz w:val="24"/>
          <w:szCs w:val="24"/>
        </w:rPr>
        <w:t xml:space="preserve">Recommendation 2 — Transition to mg/MJ for High-Mass Units: </w:t>
      </w:r>
      <w:r>
        <w:rPr>
          <w:rFonts w:ascii="Times New Roman" w:cs="Times New Roman" w:eastAsia="Times New Roman" w:hAnsi="Times New Roman"/>
          <w:color w:val="2C2C2C"/>
          <w:sz w:val="24"/>
          <w:szCs w:val="24"/>
        </w:rPr>
        <w:t xml:space="preserve">Consider replacing the g/h mass-rate limit with an energy-normalized mg/MJ metric for high-efficiency, slow heat release appliances (as defined under BS EN 15250).</w:t>
      </w:r>
    </w:p>
    <w:p>
      <w:pPr>
        <w:spacing w:after="160" w:line="276"/>
        <w:ind w:left="360"/>
      </w:pPr>
      <w:r>
        <w:rPr>
          <w:rFonts w:ascii="Times New Roman" w:cs="Times New Roman" w:eastAsia="Times New Roman" w:hAnsi="Times New Roman"/>
          <w:b/>
          <w:bCs/>
          <w:color w:val="1B2A4A"/>
          <w:sz w:val="24"/>
          <w:szCs w:val="24"/>
        </w:rPr>
        <w:t xml:space="preserve">Recommendation 3 — Approve Calculation-Based Certification: </w:t>
      </w:r>
      <w:r>
        <w:rPr>
          <w:rFonts w:ascii="Times New Roman" w:cs="Times New Roman" w:eastAsia="Times New Roman" w:hAnsi="Times New Roman"/>
          <w:color w:val="2C2C2C"/>
          <w:sz w:val="24"/>
          <w:szCs w:val="24"/>
        </w:rPr>
        <w:t xml:space="preserve">Consider adopting BS EN 15544:2023 as an officially sanctioned calculation method, providing a zero-cost regulatory pathway for artisanal builders.</w:t>
      </w:r>
    </w:p>
    <w:p>
      <w:pPr>
        <w:spacing w:after="160" w:line="276"/>
        <w:ind w:left="360"/>
      </w:pPr>
      <w:r>
        <w:rPr>
          <w:rFonts w:ascii="Times New Roman" w:cs="Times New Roman" w:eastAsia="Times New Roman" w:hAnsi="Times New Roman"/>
          <w:b/>
          <w:bCs/>
          <w:color w:val="1B2A4A"/>
          <w:sz w:val="24"/>
          <w:szCs w:val="24"/>
        </w:rPr>
        <w:t xml:space="preserve">Recommendation 4 — Differentiate Appliance Categories: </w:t>
      </w:r>
      <w:r>
        <w:rPr>
          <w:rFonts w:ascii="Times New Roman" w:cs="Times New Roman" w:eastAsia="Times New Roman" w:hAnsi="Times New Roman"/>
          <w:color w:val="2C2C2C"/>
          <w:sz w:val="24"/>
          <w:szCs w:val="24"/>
        </w:rPr>
        <w:t xml:space="preserve">Consider distinguishing “Slow Heat Release Appliances” (thermal mass) from “Continuous Release Appliances” (metal stoves) within the Clean Air Act amendments, consistent with the approach taken by Sweden, the US, and the EU Ecodesign framework.</w:t>
      </w:r>
    </w:p>
    <w:p>
      <w:r>
        <w:br w:type="page"/>
      </w:r>
    </w:p>
    <w:p>
      <w:pPr>
        <w:pBdr>
          <w:top w:val="single" w:color="1B2A4A" w:sz="6" w:space="4"/>
        </w:pBdr>
        <w:spacing w:before="400" w:after="80"/>
      </w:pPr>
      <w:r>
        <w:rPr>
          <w:rFonts w:ascii="Times New Roman" w:cs="Times New Roman" w:eastAsia="Times New Roman" w:hAnsi="Times New Roman"/>
          <w:b/>
          <w:bCs/>
          <w:caps/>
          <w:color w:val="C4A35A"/>
          <w:sz w:val="18"/>
          <w:szCs w:val="18"/>
        </w:rPr>
        <w:t xml:space="preserve">PART 10</w:t>
      </w:r>
    </w:p>
    <w:p>
      <w:pPr>
        <w:pStyle w:val="Heading1"/>
        <w:spacing w:after="240"/>
      </w:pPr>
      <w:r>
        <w:rPr>
          <w:rFonts w:ascii="Times New Roman" w:cs="Times New Roman" w:eastAsia="Times New Roman" w:hAnsi="Times New Roman"/>
        </w:rPr>
        <w:t xml:space="preserve">Conclusion</w:t>
      </w:r>
    </w:p>
    <w:p>
      <w:pPr>
        <w:pBdr>
          <w:bottom w:val="single" w:color="C4A35A" w:sz="6" w:space="1"/>
        </w:pBdr>
        <w:spacing w:before="200" w:after="200"/>
      </w:pPr>
    </w:p>
    <w:p>
      <w:pPr>
        <w:spacing w:after="160" w:line="276"/>
      </w:pPr>
      <w:r>
        <w:rPr>
          <w:rFonts w:ascii="Times New Roman" w:cs="Times New Roman" w:eastAsia="Times New Roman" w:hAnsi="Times New Roman"/>
          <w:b/>
          <w:bCs/>
          <w:color w:val="2C2C2C"/>
          <w:sz w:val="24"/>
          <w:szCs w:val="24"/>
        </w:rPr>
        <w:t xml:space="preserve">The evidence base is substantial and internationally validated. Masonry heaters — whether the Swedish Kakelugn, the Austrian UmweltPlus, or the German Grundofen — represent an established, high-performance category of solid-fuel combustion technology. The current UK proposal to apply a 1 g/h limit using 1960s-era testing methodologies (PD 6434 / BS 3841) does not accommodate a proven technology class that could contribute materially to the UK’s domestic air quality objectives.</w:t>
      </w:r>
    </w:p>
    <w:p>
      <w:pPr>
        <w:spacing w:after="160" w:line="276"/>
      </w:pPr>
      <w:r>
        <w:rPr>
          <w:rFonts w:ascii="Times New Roman" w:cs="Times New Roman" w:eastAsia="Times New Roman" w:hAnsi="Times New Roman"/>
          <w:color w:val="2C2C2C"/>
          <w:sz w:val="24"/>
          <w:szCs w:val="24"/>
        </w:rPr>
        <w:t xml:space="preserve">By formally recognising the European Calculation-Based Framework (BS EN 15544), acknowledging the distinct operational physics of thermal mass (BS EN 15250), and considering energy-normalized metrics (mg/MJ), the UK Government can align with international best practice and support the deployment of ultra-low emission heating technology at zero cost to the exchequer.</w:t>
      </w:r>
    </w:p>
    <w:p>
      <w:pPr>
        <w:pBdr>
          <w:bottom w:val="single" w:color="C4A35A" w:sz="6" w:space="1"/>
        </w:pBdr>
        <w:spacing w:before="200" w:after="200"/>
      </w:pPr>
    </w:p>
    <w:p>
      <w:pPr>
        <w:spacing w:after="160" w:line="276"/>
      </w:pPr>
      <w:r>
        <w:rPr>
          <w:rFonts w:ascii="Times New Roman" w:cs="Times New Roman" w:eastAsia="Times New Roman" w:hAnsi="Times New Roman"/>
          <w:b/>
          <w:bCs/>
          <w:color w:val="1B2A4A"/>
          <w:sz w:val="24"/>
          <w:szCs w:val="24"/>
        </w:rPr>
        <w:t xml:space="preserve">Zero cost to government. The standard, the software, and the precedent already exist.</w:t>
      </w:r>
    </w:p>
    <w:p>
      <w:pPr>
        <w:spacing w:after="160" w:line="276"/>
      </w:pPr>
      <w:r>
        <w:rPr>
          <w:rFonts w:ascii="Times New Roman" w:cs="Times New Roman" w:eastAsia="Times New Roman" w:hAnsi="Times New Roman"/>
          <w:color w:val="2C2C2C"/>
          <w:sz w:val="24"/>
          <w:szCs w:val="24"/>
        </w:rPr>
        <w:t xml:space="preserve"/>
      </w:r>
    </w:p>
    <w:p>
      <w:pPr>
        <w:pBdr>
          <w:top w:val="single" w:color="1B2A4A" w:sz="2" w:space="4"/>
        </w:pBdr>
        <w:spacing w:before="400" w:after="200"/>
      </w:pPr>
      <w:r>
        <w:rPr>
          <w:rFonts w:ascii="Times New Roman" w:cs="Times New Roman" w:eastAsia="Times New Roman" w:hAnsi="Times New Roman"/>
          <w:b/>
          <w:bCs/>
          <w:caps/>
          <w:color w:val="1B2A4A"/>
          <w:sz w:val="18"/>
          <w:szCs w:val="18"/>
        </w:rPr>
        <w:t xml:space="preserve">SOURCES AND REFERENCES</w:t>
      </w:r>
    </w:p>
    <w:p>
      <w:pPr>
        <w:spacing w:after="160" w:line="276"/>
      </w:pPr>
      <w:r>
        <w:rPr>
          <w:rFonts w:ascii="Times New Roman" w:cs="Times New Roman" w:eastAsia="Times New Roman" w:hAnsi="Times New Roman"/>
          <w:color w:val="6B6B6B"/>
          <w:sz w:val="24"/>
          <w:szCs w:val="24"/>
        </w:rPr>
        <w:t xml:space="preserve">BS EN 15544:2023 · BS EN 15250:2007 · BS 3841:1994 · PD 6434:1969</w:t>
      </w:r>
    </w:p>
    <w:p>
      <w:pPr>
        <w:spacing w:after="160" w:line="276"/>
      </w:pPr>
      <w:r>
        <w:rPr>
          <w:rFonts w:ascii="Times New Roman" w:cs="Times New Roman" w:eastAsia="Times New Roman" w:hAnsi="Times New Roman"/>
          <w:color w:val="6B6B6B"/>
          <w:sz w:val="24"/>
          <w:szCs w:val="24"/>
        </w:rPr>
        <w:t xml:space="preserve">Austrian 15a B-VG · Ricardo RDE002 (2022) · Lopez Labs / MHA-Net.org · AFPMA.pro</w:t>
      </w:r>
    </w:p>
    <w:p>
      <w:pPr>
        <w:spacing w:after="160" w:line="276"/>
      </w:pPr>
      <w:r>
        <w:rPr>
          <w:rFonts w:ascii="Times New Roman" w:cs="Times New Roman" w:eastAsia="Times New Roman" w:hAnsi="Times New Roman"/>
          <w:color w:val="6B6B6B"/>
          <w:sz w:val="24"/>
          <w:szCs w:val="24"/>
        </w:rPr>
        <w:t xml:space="preserve">850grad.org · cechkamnaru.cz · EPA NSPS · DBFZ Report Nr. 3 · Shelton (1986) · Tiegs (1994)</w:t>
      </w:r>
    </w:p>
    <w:p>
      <w:pPr>
        <w:spacing w:after="160" w:line="276"/>
      </w:pPr>
      <w:r>
        <w:rPr>
          <w:rFonts w:ascii="Times New Roman" w:cs="Times New Roman" w:eastAsia="Times New Roman" w:hAnsi="Times New Roman"/>
          <w:color w:val="C4A35A"/>
          <w:sz w:val="24"/>
          <w:szCs w:val="24"/>
        </w:rPr>
        <w:t xml:space="preserve">Defra Exemption No. 554: https://smokecontrol.defra.gov.uk/appliances/jansen-design-stove-using-the-five-channel-system-554/</w:t>
      </w:r>
    </w:p>
    <w:p>
      <w:pPr>
        <w:spacing w:after="160" w:line="276"/>
      </w:pPr>
      <w:r>
        <w:rPr>
          <w:rFonts w:ascii="Times New Roman" w:cs="Times New Roman" w:eastAsia="Times New Roman" w:hAnsi="Times New Roman"/>
          <w:color w:val="C4A35A"/>
          <w:sz w:val="24"/>
          <w:szCs w:val="24"/>
        </w:rPr>
        <w:t xml:space="preserve">Defra Consultation: https://consult.defra.gov.uk/domestic-burning/consultation-on-solid-fuel-burning/</w:t>
      </w:r>
    </w:p>
    <w:p>
      <w:pPr>
        <w:spacing w:after="160" w:line="276"/>
      </w:pPr>
      <w:r>
        <w:rPr>
          <w:rFonts w:ascii="Times New Roman" w:cs="Times New Roman" w:eastAsia="Times New Roman" w:hAnsi="Times New Roman"/>
          <w:color w:val="2C2C2C"/>
          <w:sz w:val="24"/>
          <w:szCs w:val="24"/>
        </w:rPr>
        <w:t xml:space="preserve"/>
      </w:r>
    </w:p>
    <w:p>
      <w:pPr>
        <w:spacing w:after="160" w:line="276"/>
      </w:pPr>
      <w:r>
        <w:rPr>
          <w:rFonts w:ascii="Times New Roman" w:cs="Times New Roman" w:eastAsia="Times New Roman" w:hAnsi="Times New Roman"/>
          <w:i/>
          <w:iCs/>
          <w:color w:val="6B6B6B"/>
          <w:sz w:val="24"/>
          <w:szCs w:val="24"/>
        </w:rPr>
        <w:t xml:space="preserve">Campaign by StoveMason — Masonry Heater Builders Ltd — www.stovemason.com</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4A35A" w:sz="2" w:space="4"/>
      </w:pBdr>
      <w:jc w:val="center"/>
    </w:pPr>
    <w:r>
      <w:rPr>
        <w:rFonts w:ascii="Times New Roman" w:cs="Times New Roman" w:eastAsia="Times New Roman" w:hAnsi="Times New Roman"/>
        <w:color w:val="6B6B6B"/>
        <w:sz w:val="16"/>
        <w:szCs w:val="16"/>
      </w:rPr>
      <w:t xml:space="preserve">Campaign by StoveMason — Masonry Heater Builders Ltd — www.stovemason.com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6B6B6B"/>
        <w:sz w:val="16"/>
        <w:szCs w:val="16"/>
      </w:rPr>
      <w:t xml:space="preserve">Executive Evidence Dossier — UK Masonry Heater Recognition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240"/>
      <w:outlineLvl w:val="0"/>
    </w:pPr>
    <w:rPr>
      <w:rFonts w:ascii="Times New Roman" w:cs="Times New Roman" w:eastAsia="Times New Roman" w:hAnsi="Times New Roman"/>
      <w:b/>
      <w:bCs/>
      <w:color w:val="1B2A4A"/>
      <w:sz w:val="36"/>
      <w:szCs w:val="36"/>
    </w:rPr>
  </w:style>
  <w:style w:type="paragraph" w:styleId="Heading2">
    <w:name w:val="Heading 2"/>
    <w:basedOn w:val="Normal"/>
    <w:next w:val="Normal"/>
    <w:qFormat/>
    <w:pPr>
      <w:spacing w:before="240" w:after="180"/>
      <w:outlineLvl w:val="1"/>
    </w:pPr>
    <w:rPr>
      <w:rFonts w:ascii="Times New Roman" w:cs="Times New Roman" w:eastAsia="Times New Roman" w:hAnsi="Times New Roman"/>
      <w:b/>
      <w:bCs/>
      <w:color w:val="1B2A4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2026-03-10T23:45:16.658Z</dcterms:created>
  <dcterms:modified xsi:type="dcterms:W3CDTF">2026-03-10T23:45:16.659Z</dcterms:modified>
</cp:coreProperties>
</file>

<file path=docProps/custom.xml><?xml version="1.0" encoding="utf-8"?>
<Properties xmlns="http://schemas.openxmlformats.org/officeDocument/2006/custom-properties" xmlns:vt="http://schemas.openxmlformats.org/officeDocument/2006/docPropsVTypes"/>
</file>