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BA8B" w14:textId="77777777" w:rsidR="002050C3" w:rsidRDefault="00000000">
      <w:pPr>
        <w:spacing w:before="3000" w:after="200"/>
      </w:pPr>
      <w:r>
        <w:rPr>
          <w:b/>
          <w:bCs/>
          <w:caps/>
          <w:color w:val="C4A35A"/>
          <w:sz w:val="18"/>
          <w:szCs w:val="18"/>
        </w:rPr>
        <w:t>EXECUTIVE EVIDENCE DOSSIER</w:t>
      </w:r>
    </w:p>
    <w:p w14:paraId="42F429B5" w14:textId="77777777" w:rsidR="002050C3" w:rsidRDefault="00000000">
      <w:pPr>
        <w:pBdr>
          <w:bottom w:val="single" w:sz="6" w:space="8" w:color="C4A35A"/>
        </w:pBdr>
        <w:spacing w:after="400"/>
      </w:pPr>
      <w:r>
        <w:rPr>
          <w:b/>
          <w:bCs/>
          <w:color w:val="1B2A4A"/>
          <w:sz w:val="44"/>
          <w:szCs w:val="44"/>
        </w:rPr>
        <w:t>The Case for Harmonising UK Solid Fuel Emissions with Advanced European Masonry Heater Frameworks</w:t>
      </w:r>
    </w:p>
    <w:p w14:paraId="2BF0DBF9" w14:textId="77777777" w:rsidR="002050C3" w:rsidRDefault="002050C3">
      <w:pPr>
        <w:spacing w:after="160" w:line="276" w:lineRule="auto"/>
      </w:pPr>
    </w:p>
    <w:p w14:paraId="5233A36B" w14:textId="77777777" w:rsidR="002050C3" w:rsidRDefault="00000000">
      <w:pPr>
        <w:spacing w:after="160" w:line="276" w:lineRule="auto"/>
        <w:ind w:left="360"/>
      </w:pPr>
      <w:r>
        <w:rPr>
          <w:b/>
          <w:bCs/>
          <w:color w:val="1B2A4A"/>
        </w:rPr>
        <w:t xml:space="preserve">Submitted to: </w:t>
      </w:r>
      <w:r>
        <w:rPr>
          <w:color w:val="2C2C2C"/>
        </w:rPr>
        <w:t>Department for Environment, Food and Rural Affairs (Defra)</w:t>
      </w:r>
    </w:p>
    <w:p w14:paraId="2211100C" w14:textId="77777777" w:rsidR="002050C3" w:rsidRDefault="00000000">
      <w:pPr>
        <w:spacing w:after="100" w:line="276" w:lineRule="auto"/>
        <w:ind w:left="360"/>
      </w:pPr>
      <w:r>
        <w:rPr>
          <w:b/>
          <w:bCs/>
          <w:color w:val="1B2A4A"/>
        </w:rPr>
        <w:t xml:space="preserve">CC: </w:t>
      </w:r>
      <w:r>
        <w:t>Devolved Administrations:</w:t>
      </w:r>
    </w:p>
    <w:p w14:paraId="03A15D7A" w14:textId="77777777" w:rsidR="002050C3" w:rsidRDefault="00000000">
      <w:pPr>
        <w:spacing w:after="60" w:line="276" w:lineRule="auto"/>
        <w:ind w:left="720"/>
      </w:pPr>
      <w:r>
        <w:rPr>
          <w:color w:val="4A4A4A"/>
          <w:sz w:val="22"/>
          <w:szCs w:val="22"/>
        </w:rPr>
        <w:t>Scottish Government — environment.protection.team@gov.scot</w:t>
      </w:r>
    </w:p>
    <w:p w14:paraId="608BBEE0" w14:textId="77777777" w:rsidR="002050C3" w:rsidRDefault="00000000">
      <w:pPr>
        <w:spacing w:after="60" w:line="276" w:lineRule="auto"/>
        <w:ind w:left="720"/>
      </w:pPr>
      <w:r>
        <w:rPr>
          <w:color w:val="4A4A4A"/>
          <w:sz w:val="22"/>
          <w:szCs w:val="22"/>
        </w:rPr>
        <w:t>Welsh Government / NRW — airquality@naturalresourceswales.gov.uk</w:t>
      </w:r>
    </w:p>
    <w:p w14:paraId="6C2681FF" w14:textId="77777777" w:rsidR="002050C3" w:rsidRDefault="00000000">
      <w:pPr>
        <w:spacing w:after="160" w:line="276" w:lineRule="auto"/>
        <w:ind w:left="720"/>
      </w:pPr>
      <w:r>
        <w:rPr>
          <w:color w:val="4A4A4A"/>
          <w:sz w:val="22"/>
          <w:szCs w:val="22"/>
        </w:rPr>
        <w:t>DAERA (Northern Ireland) — daera.helpline@daera-ni.gov.uk</w:t>
      </w:r>
    </w:p>
    <w:p w14:paraId="1C55FFB0" w14:textId="77777777" w:rsidR="002050C3" w:rsidRDefault="00000000">
      <w:pPr>
        <w:spacing w:after="160" w:line="276" w:lineRule="auto"/>
        <w:ind w:left="360"/>
      </w:pPr>
      <w:r>
        <w:rPr>
          <w:b/>
          <w:bCs/>
          <w:color w:val="1B2A4A"/>
        </w:rPr>
        <w:t xml:space="preserve">Purpose: </w:t>
      </w:r>
      <w:r>
        <w:rPr>
          <w:color w:val="2C2C2C"/>
        </w:rPr>
        <w:t>Comprehensive Statutory Response to the Consultation on Reducing Smoke Emissions from Solid Fuel Burning (Closing 19 March 2026)</w:t>
      </w:r>
    </w:p>
    <w:p w14:paraId="2A3EB3B8" w14:textId="77777777" w:rsidR="002050C3" w:rsidRDefault="00000000">
      <w:pPr>
        <w:spacing w:after="160" w:line="276" w:lineRule="auto"/>
        <w:ind w:left="360"/>
      </w:pPr>
      <w:r>
        <w:rPr>
          <w:b/>
          <w:bCs/>
          <w:color w:val="1B2A4A"/>
        </w:rPr>
        <w:t xml:space="preserve">Date: </w:t>
      </w:r>
      <w:r>
        <w:rPr>
          <w:color w:val="2C2C2C"/>
        </w:rPr>
        <w:t>17 March 2026</w:t>
      </w:r>
    </w:p>
    <w:p w14:paraId="428156D6" w14:textId="77777777" w:rsidR="002050C3" w:rsidRDefault="00000000">
      <w:pPr>
        <w:spacing w:after="160" w:line="276" w:lineRule="auto"/>
        <w:ind w:left="360"/>
      </w:pPr>
      <w:r>
        <w:rPr>
          <w:b/>
          <w:bCs/>
          <w:color w:val="1B2A4A"/>
        </w:rPr>
        <w:t xml:space="preserve">Classification: </w:t>
      </w:r>
      <w:r>
        <w:rPr>
          <w:color w:val="2C2C2C"/>
        </w:rPr>
        <w:t>Technical Evidence / Statutory Policy Recommendation / Academic Evaluation</w:t>
      </w:r>
    </w:p>
    <w:p w14:paraId="76ED2409" w14:textId="77777777" w:rsidR="002050C3" w:rsidRDefault="002050C3">
      <w:pPr>
        <w:spacing w:after="160" w:line="276" w:lineRule="auto"/>
      </w:pPr>
    </w:p>
    <w:p w14:paraId="028C5460" w14:textId="77777777" w:rsidR="002050C3" w:rsidRDefault="002050C3">
      <w:pPr>
        <w:spacing w:after="160" w:line="276" w:lineRule="auto"/>
      </w:pPr>
    </w:p>
    <w:p w14:paraId="5C8D97F4" w14:textId="77777777" w:rsidR="002050C3" w:rsidRDefault="00000000">
      <w:pPr>
        <w:pBdr>
          <w:top w:val="single" w:sz="2" w:space="4" w:color="1B2A4A"/>
        </w:pBdr>
        <w:spacing w:after="100"/>
      </w:pPr>
      <w:r>
        <w:rPr>
          <w:b/>
          <w:bCs/>
          <w:color w:val="1B2A4A"/>
          <w:sz w:val="20"/>
          <w:szCs w:val="20"/>
        </w:rPr>
        <w:t>Defra Consultation Reference:</w:t>
      </w:r>
    </w:p>
    <w:p w14:paraId="3F0B4482" w14:textId="77777777" w:rsidR="002050C3" w:rsidRDefault="00000000">
      <w:pPr>
        <w:spacing w:after="160" w:line="276" w:lineRule="auto"/>
      </w:pPr>
      <w:r>
        <w:rPr>
          <w:color w:val="C4A35A"/>
        </w:rPr>
        <w:t>https://consult.defra.gov.uk/domestic-burning/consultation-on-solid-fuel-burning/</w:t>
      </w:r>
    </w:p>
    <w:p w14:paraId="2E500A0B" w14:textId="77777777" w:rsidR="002050C3" w:rsidRDefault="00000000">
      <w:pPr>
        <w:spacing w:after="160" w:line="276" w:lineRule="auto"/>
      </w:pPr>
      <w:r>
        <w:rPr>
          <w:color w:val="C4A35A"/>
        </w:rPr>
        <w:t>Respond: https://consult.defra.gov.uk/domestic-burning/consultation-on-solid-fuel-burning/consultation/subpage.2026-01-13.3633732225/</w:t>
      </w:r>
    </w:p>
    <w:p w14:paraId="4F9E012A" w14:textId="77777777" w:rsidR="002050C3" w:rsidRDefault="00000000">
      <w:r>
        <w:br w:type="page"/>
      </w:r>
    </w:p>
    <w:p w14:paraId="7B9F98CC" w14:textId="77777777" w:rsidR="002050C3" w:rsidRDefault="002050C3">
      <w:pPr>
        <w:sectPr w:rsidR="002050C3">
          <w:pgSz w:w="11906" w:h="16838"/>
          <w:pgMar w:top="1440" w:right="1440" w:bottom="1440" w:left="1440" w:header="708" w:footer="708" w:gutter="0"/>
          <w:cols w:space="720"/>
          <w:docGrid w:linePitch="360"/>
        </w:sectPr>
      </w:pPr>
    </w:p>
    <w:p w14:paraId="34B5C392" w14:textId="77777777" w:rsidR="002050C3" w:rsidRDefault="00000000">
      <w:pPr>
        <w:pBdr>
          <w:top w:val="single" w:sz="6" w:space="4" w:color="1B2A4A"/>
        </w:pBdr>
        <w:spacing w:before="400" w:after="80"/>
      </w:pPr>
      <w:r>
        <w:rPr>
          <w:b/>
          <w:bCs/>
          <w:caps/>
          <w:color w:val="C4A35A"/>
          <w:sz w:val="18"/>
          <w:szCs w:val="18"/>
        </w:rPr>
        <w:lastRenderedPageBreak/>
        <w:t>PART 1</w:t>
      </w:r>
    </w:p>
    <w:p w14:paraId="3C1C7C73" w14:textId="77777777" w:rsidR="002050C3" w:rsidRDefault="00000000">
      <w:pPr>
        <w:pStyle w:val="Heading1"/>
      </w:pPr>
      <w:r>
        <w:t>Executive Summary</w:t>
      </w:r>
    </w:p>
    <w:p w14:paraId="2BDF1B66" w14:textId="77777777" w:rsidR="002050C3" w:rsidRDefault="00000000">
      <w:pPr>
        <w:spacing w:after="160" w:line="276" w:lineRule="auto"/>
      </w:pPr>
      <w:r>
        <w:rPr>
          <w:color w:val="2C2C2C"/>
        </w:rPr>
        <w:t>The United Kingdom is at a defining crossroads in its domestic air quality strategy. The 2026 Defra Consultation proposes a reduction in allowable smoke emissions for new solid fuel stoves from the current 3 g/h (reduced from 5 g/h in January 2023 under the Environmental Improvement Plan) to 1 g/h (plus 0.1g per 0.3 kW of output). While this represents a stringent numerical target, a review of UK British Standards (BS 3841, BS EN 15250/EN 16510-2-5, BS EN 15544), global empirical data (US EPA, Lopez Labs), and European frameworks (Austrian 15a B-VG, German 1. BImSchV) reveals a significant structural limitation: the UK’s “mass-rate” methodology does not accommodate the operational characteristics of high-mass Masonry Heaters (MH) — a technology class that demonstrably achieves lower emissions per unit of heat delivered than conventional appliances.</w:t>
      </w:r>
    </w:p>
    <w:p w14:paraId="292AE6CE" w14:textId="77777777" w:rsidR="002050C3" w:rsidRDefault="00000000">
      <w:pPr>
        <w:spacing w:after="160" w:line="276" w:lineRule="auto"/>
      </w:pPr>
      <w:r>
        <w:rPr>
          <w:color w:val="2C2C2C"/>
        </w:rPr>
        <w:t>This 10-part dossier provides a comparison of international testing regimes. It demonstrates that masonry heater technologies vary significantly — from the Swedish Kakelugn to the American Contraflow, the German Grundofen, and the Austrian UmweltPlus bio-combustion firebox. Despite their mechanical differences, all share a common thermal principle: high-temperature batch combustion followed by prolonged, near-zero-emission radiant heat release.</w:t>
      </w:r>
    </w:p>
    <w:p w14:paraId="6DE54300" w14:textId="77777777" w:rsidR="002050C3" w:rsidRDefault="00000000">
      <w:pPr>
        <w:spacing w:after="160" w:line="276" w:lineRule="auto"/>
      </w:pPr>
      <w:r>
        <w:rPr>
          <w:b/>
          <w:bCs/>
          <w:color w:val="2C2C2C"/>
        </w:rPr>
        <w:t>The evidence indicates that applying a continuous-burn metric (grams per hour) to a batch-burn thermal storage appliance does not accurately represent its emissions performance. To meet its Net Zero and PM2.5 abatement targets, Defra should consider adopting an energy-normalized metric (mg/MJ) and recognising calculation-based certification (BS EN 15544). This dossier outlines a policy pathway to achieve this, at zero cost to the UK Government.</w:t>
      </w:r>
    </w:p>
    <w:p w14:paraId="0F4852DC" w14:textId="77777777" w:rsidR="002050C3" w:rsidRDefault="00000000">
      <w:r>
        <w:br w:type="page"/>
      </w:r>
    </w:p>
    <w:p w14:paraId="649F7F23" w14:textId="77777777" w:rsidR="002050C3" w:rsidRDefault="00000000">
      <w:pPr>
        <w:pBdr>
          <w:top w:val="single" w:sz="6" w:space="4" w:color="1B2A4A"/>
        </w:pBdr>
        <w:spacing w:before="400" w:after="80"/>
      </w:pPr>
      <w:r>
        <w:rPr>
          <w:b/>
          <w:bCs/>
          <w:caps/>
          <w:color w:val="C4A35A"/>
          <w:sz w:val="18"/>
          <w:szCs w:val="18"/>
        </w:rPr>
        <w:lastRenderedPageBreak/>
        <w:t>PART 2</w:t>
      </w:r>
    </w:p>
    <w:p w14:paraId="55DD4AEA" w14:textId="77777777" w:rsidR="002050C3" w:rsidRDefault="00000000">
      <w:pPr>
        <w:pStyle w:val="Heading1"/>
      </w:pPr>
      <w:r>
        <w:t>The Regulatory Anomaly and the “Measurement Gap”</w:t>
      </w:r>
    </w:p>
    <w:p w14:paraId="258FCDBF" w14:textId="77777777" w:rsidR="002050C3" w:rsidRDefault="00000000">
      <w:pPr>
        <w:pStyle w:val="Heading2"/>
        <w:spacing w:before="300" w:after="200"/>
      </w:pPr>
      <w:r>
        <w:t>2.1. The UK Legacy: Mass-Rate Measurement (g/h)</w:t>
      </w:r>
    </w:p>
    <w:p w14:paraId="18D4F0F4" w14:textId="77777777" w:rsidR="002050C3" w:rsidRDefault="00000000">
      <w:pPr>
        <w:spacing w:after="160" w:line="276" w:lineRule="auto"/>
      </w:pPr>
      <w:r>
        <w:rPr>
          <w:color w:val="2C2C2C"/>
        </w:rPr>
        <w:t>The UK’s regulatory framework for domestic appliances is rooted in the Clean Air Act 1956 (repealed and consolidated by the Clean Air Act 1993) and operationalized via BS 3841-1:1994 and BS 3841-2:1994 (Determination of smoke emission rate).</w:t>
      </w:r>
    </w:p>
    <w:p w14:paraId="3C2C8EF1" w14:textId="77777777" w:rsidR="002050C3" w:rsidRDefault="00000000">
      <w:pPr>
        <w:spacing w:after="160" w:line="276" w:lineRule="auto"/>
        <w:ind w:left="360"/>
      </w:pPr>
      <w:r>
        <w:rPr>
          <w:b/>
          <w:bCs/>
          <w:color w:val="1B2A4A"/>
        </w:rPr>
        <w:t xml:space="preserve">The Methodology: </w:t>
      </w:r>
      <w:r>
        <w:rPr>
          <w:color w:val="2C2C2C"/>
        </w:rPr>
        <w:t>The standard assesses appliances by measuring the mass of smoke over time (grams per hour) using an electrostatic precipitator or dilution tunnel. The legal threshold for exemption is whether the appliance operates without producing a “substantial quantity of smoke.”</w:t>
      </w:r>
    </w:p>
    <w:p w14:paraId="14748646" w14:textId="77777777" w:rsidR="002050C3" w:rsidRDefault="00000000">
      <w:pPr>
        <w:spacing w:after="160" w:line="276" w:lineRule="auto"/>
        <w:ind w:left="360"/>
      </w:pPr>
      <w:r>
        <w:rPr>
          <w:b/>
          <w:bCs/>
          <w:color w:val="1B2A4A"/>
        </w:rPr>
        <w:t xml:space="preserve">The Limitation for Batch-Burn Appliances: </w:t>
      </w:r>
      <w:r>
        <w:rPr>
          <w:color w:val="2C2C2C"/>
        </w:rPr>
        <w:t>Masonry heaters operate via “batch combustion.” A fuel charge of 15–25 kg is burned at high temperature (up to 900°C) over 1.5 to 2 hours to charge a masonry thermal core. During this phase, the instantaneous g/h rate appears elevated (e.g., 11.8 g/h). However, the appliance then radiates stored heat for 12–24 hours with negligible further emissions.</w:t>
      </w:r>
    </w:p>
    <w:p w14:paraId="1A001001" w14:textId="77777777" w:rsidR="002050C3" w:rsidRDefault="00000000">
      <w:pPr>
        <w:pBdr>
          <w:left w:val="single" w:sz="12" w:space="8" w:color="B8860B"/>
        </w:pBdr>
        <w:shd w:val="clear" w:color="auto" w:fill="FFF8E7"/>
        <w:spacing w:after="160" w:line="276" w:lineRule="auto"/>
        <w:ind w:left="360"/>
      </w:pPr>
      <w:r>
        <w:rPr>
          <w:b/>
          <w:bCs/>
          <w:color w:val="8B7355"/>
        </w:rPr>
        <w:t xml:space="preserve">Regulatory Ambiguity (AFPMA analysis): </w:t>
      </w:r>
      <w:r>
        <w:rPr>
          <w:color w:val="2C2C2C"/>
        </w:rPr>
        <w:t>Applying the proposed Defra formula (1 g/h + 0.1g per 0.3kW) to a masonry heater providing 2kW average heat over 24 hours (flame output ≈52kW for 1h15min) produces two contradictory results: using average useful power (2kW) gives a limit of 1.67 g/h; using stored useful power at 80% efficiency (52 × 0.8 = 41.6kW) gives 14.87 g/h. This 9× ambiguity in the calculated limit demonstrates the fundamental incompatibility of the proposed continuous-burn formula with batch-burn thermal storage appliances.</w:t>
      </w:r>
    </w:p>
    <w:p w14:paraId="554FF349" w14:textId="77777777" w:rsidR="002050C3" w:rsidRDefault="00000000">
      <w:pPr>
        <w:spacing w:after="160" w:line="276" w:lineRule="auto"/>
        <w:ind w:left="360"/>
      </w:pPr>
      <w:r>
        <w:rPr>
          <w:b/>
          <w:bCs/>
          <w:color w:val="1B2A4A"/>
        </w:rPr>
        <w:t xml:space="preserve">The Comparative Context: </w:t>
      </w:r>
      <w:r>
        <w:rPr>
          <w:color w:val="2C2C2C"/>
        </w:rPr>
        <w:t>A typical 2 kW average-output masonry heater achieves this by producing a flame output of approximately 52 kW for 1 hour and 15 minutes, storing the heat for gradual release. Averaged over a 24-hour heat delivery cycle, emissions are approximately 0.98 g/h. The g/kg emission factor provides a more appropriate comparison: for a masonry heater burning a 24 kg load once per day, the average burn rate is 1 kg/h — meaning g/kg PM equals g/h PM in practice (1 g/kg × 24 kg = 24 g PM per day; 1 g/h × 24 hrs = 24 g PM per day). Australia and New Zealand have already adopted g/kg limits, which naturally accommodate both batch-burn and continuous-burn appliance types. A conventional metal stove operated in low-burn conditions has been shown to produce significantly elevated PM levels in real-world use (Tiegs, 1994; Alaska CCHRC Study, 2009).</w:t>
      </w:r>
    </w:p>
    <w:p w14:paraId="773518C6" w14:textId="77777777" w:rsidR="002050C3" w:rsidRDefault="00000000">
      <w:pPr>
        <w:pStyle w:val="Heading2"/>
        <w:spacing w:before="300" w:after="200"/>
      </w:pPr>
      <w:r>
        <w:t>2.2. The European Best Practice: Energy-Normalized Units (mg/MJ)</w:t>
      </w:r>
    </w:p>
    <w:p w14:paraId="4B045B4A" w14:textId="77777777" w:rsidR="002050C3" w:rsidRDefault="00000000">
      <w:pPr>
        <w:spacing w:after="160" w:line="276" w:lineRule="auto"/>
      </w:pPr>
      <w:r>
        <w:rPr>
          <w:color w:val="2C2C2C"/>
        </w:rPr>
        <w:t>In contrast, the Austrian 15a B-VG standard evaluates emissions relative to energy output (milligrams per megajoule).</w:t>
      </w:r>
    </w:p>
    <w:p w14:paraId="012F0D5D" w14:textId="77777777" w:rsidR="002050C3" w:rsidRDefault="00000000">
      <w:pPr>
        <w:spacing w:after="160" w:line="276" w:lineRule="auto"/>
        <w:ind w:left="360"/>
      </w:pPr>
      <w:r>
        <w:rPr>
          <w:b/>
          <w:bCs/>
          <w:color w:val="1B2A4A"/>
        </w:rPr>
        <w:t xml:space="preserve">The Advantage: </w:t>
      </w:r>
      <w:r>
        <w:rPr>
          <w:color w:val="2C2C2C"/>
        </w:rPr>
        <w:t>By measuring mg/MJ, the regulation assesses both combustion quality and thermal efficiency. Under this framework, appliances that deliver greater thermal output per unit of fuel consumed are assessed more favourably.</w:t>
      </w:r>
    </w:p>
    <w:p w14:paraId="05205658" w14:textId="77777777" w:rsidR="002050C3" w:rsidRDefault="00000000">
      <w:pPr>
        <w:spacing w:after="160" w:line="276" w:lineRule="auto"/>
        <w:ind w:left="360"/>
      </w:pPr>
      <w:r>
        <w:rPr>
          <w:b/>
          <w:bCs/>
          <w:color w:val="1B2A4A"/>
        </w:rPr>
        <w:t xml:space="preserve">The German Perspective: </w:t>
      </w:r>
      <w:r>
        <w:rPr>
          <w:color w:val="2C2C2C"/>
        </w:rPr>
        <w:t>The position paper from 850° Handwerklicher Grundofen e.V. (www.850grad.org) notes that standard type-testing (such as the 2nd stage of the 1. BImSchV) is conducted under controlled laboratory conditions. Masonry heaters, by virtue of their thermal mass design, operate through a defined batch-burn cycle. This inherent operating characteristic means that the combustion conditions observed during testing are closely replicated in normal domestic use.</w:t>
      </w:r>
    </w:p>
    <w:p w14:paraId="449D323B" w14:textId="77777777" w:rsidR="002050C3" w:rsidRDefault="00000000">
      <w:r>
        <w:br w:type="page"/>
      </w:r>
    </w:p>
    <w:p w14:paraId="5D9CD29D" w14:textId="77777777" w:rsidR="002050C3" w:rsidRDefault="00000000">
      <w:pPr>
        <w:pBdr>
          <w:top w:val="single" w:sz="6" w:space="4" w:color="1B2A4A"/>
        </w:pBdr>
        <w:spacing w:before="400" w:after="80"/>
      </w:pPr>
      <w:r>
        <w:rPr>
          <w:b/>
          <w:bCs/>
          <w:caps/>
          <w:color w:val="C4A35A"/>
          <w:sz w:val="18"/>
          <w:szCs w:val="18"/>
        </w:rPr>
        <w:lastRenderedPageBreak/>
        <w:t>PART 3</w:t>
      </w:r>
    </w:p>
    <w:p w14:paraId="6448AF11" w14:textId="77777777" w:rsidR="002050C3" w:rsidRDefault="00000000">
      <w:pPr>
        <w:pStyle w:val="Heading1"/>
      </w:pPr>
      <w:r>
        <w:t>Typology of Masonry Heaters: Diverse Technologies</w:t>
      </w:r>
    </w:p>
    <w:p w14:paraId="53711DCE" w14:textId="77777777" w:rsidR="002050C3" w:rsidRDefault="00000000">
      <w:pPr>
        <w:spacing w:after="160" w:line="276" w:lineRule="auto"/>
      </w:pPr>
      <w:r>
        <w:rPr>
          <w:color w:val="2C2C2C"/>
        </w:rPr>
        <w:t>A limitation of existing regulation is the treatment of all solid-fuel appliances as a single category. Masonry heater technology varies significantly by region, materials, and combustion physics.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426"/>
      </w:tblGrid>
      <w:tr w:rsidR="002050C3" w14:paraId="34ABC0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59140A0" w14:textId="77777777" w:rsidR="002050C3" w:rsidRDefault="00000000">
            <w:r>
              <w:rPr>
                <w:b/>
                <w:bCs/>
                <w:color w:val="FFFFFF"/>
                <w:sz w:val="20"/>
                <w:szCs w:val="20"/>
              </w:rPr>
              <w:t>Swedish Kakelugn</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0691D55" w14:textId="77777777" w:rsidR="002050C3" w:rsidRDefault="00000000">
            <w:r>
              <w:rPr>
                <w:b/>
                <w:bCs/>
                <w:color w:val="FFFFFF"/>
                <w:sz w:val="20"/>
                <w:szCs w:val="20"/>
              </w:rPr>
              <w:t>American Contraflow</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B970C3C" w14:textId="77777777" w:rsidR="002050C3" w:rsidRDefault="00000000">
            <w:r>
              <w:rPr>
                <w:b/>
                <w:bCs/>
                <w:color w:val="FFFFFF"/>
                <w:sz w:val="20"/>
                <w:szCs w:val="20"/>
              </w:rPr>
              <w:t>Austrian UmweltPlus</w:t>
            </w:r>
          </w:p>
        </w:tc>
        <w:tc>
          <w:tcPr>
            <w:tcW w:w="242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6CBD4923" w14:textId="77777777" w:rsidR="002050C3" w:rsidRDefault="00000000">
            <w:r>
              <w:rPr>
                <w:b/>
                <w:bCs/>
                <w:color w:val="FFFFFF"/>
                <w:sz w:val="20"/>
                <w:szCs w:val="20"/>
              </w:rPr>
              <w:t>German Grundofen</w:t>
            </w:r>
          </w:p>
        </w:tc>
      </w:tr>
      <w:tr w:rsidR="002050C3" w14:paraId="4FA14CA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4E54B" w14:textId="77777777" w:rsidR="002050C3" w:rsidRDefault="00000000">
            <w:r>
              <w:rPr>
                <w:color w:val="2C2C2C"/>
                <w:sz w:val="20"/>
                <w:szCs w:val="20"/>
              </w:rPr>
              <w:t>18th-century 5-channel vertical system. Defra Exemption No. 554 (Jansen/Camina). V&amp;A Museum collections.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D33A2" w14:textId="77777777" w:rsidR="002050C3" w:rsidRDefault="00000000">
            <w:r>
              <w:rPr>
                <w:color w:val="2C2C2C"/>
                <w:sz w:val="20"/>
                <w:szCs w:val="20"/>
              </w:rPr>
              <w:t>MHA tradition. Dense refractory cores. Lopez Labs (2010 summary, 103 documented batch burns): average PM 1.27 g/kg (range 0.48–4.61 g/kg), with advanced firebox designs (Double-Bell subset) averaging approximately 1.0 g/kg.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88F8" w14:textId="77777777" w:rsidR="002050C3" w:rsidRDefault="00000000">
            <w:r>
              <w:rPr>
                <w:color w:val="2C2C2C"/>
                <w:sz w:val="20"/>
                <w:szCs w:val="20"/>
              </w:rPr>
              <w:t>KOV bio-combustion firebox. Meets Austrian Ecolabel UZ37. Engineered secondary air geometries.</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D77FF" w14:textId="77777777" w:rsidR="002050C3" w:rsidRDefault="00000000">
            <w:r>
              <w:rPr>
                <w:color w:val="2C2C2C"/>
                <w:sz w:val="20"/>
                <w:szCs w:val="20"/>
              </w:rPr>
              <w:t>Germany’s National Register of Intangible Cultural Heritage (UNESCO Convention). 850° e.V.: &gt;850°C combustion.</w:t>
            </w:r>
          </w:p>
        </w:tc>
      </w:tr>
    </w:tbl>
    <w:p w14:paraId="7A0756EB" w14:textId="77777777" w:rsidR="002050C3" w:rsidRDefault="002050C3">
      <w:pPr>
        <w:spacing w:after="160" w:line="276" w:lineRule="auto"/>
      </w:pPr>
    </w:p>
    <w:p w14:paraId="069E7FEB" w14:textId="77777777" w:rsidR="002050C3" w:rsidRDefault="00000000">
      <w:r>
        <w:br w:type="page"/>
      </w:r>
    </w:p>
    <w:p w14:paraId="099E084E" w14:textId="77777777" w:rsidR="002050C3" w:rsidRDefault="00000000">
      <w:pPr>
        <w:pBdr>
          <w:top w:val="single" w:sz="6" w:space="4" w:color="1B2A4A"/>
        </w:pBdr>
        <w:spacing w:before="400" w:after="80"/>
      </w:pPr>
      <w:r>
        <w:rPr>
          <w:b/>
          <w:bCs/>
          <w:caps/>
          <w:color w:val="C4A35A"/>
          <w:sz w:val="18"/>
          <w:szCs w:val="18"/>
        </w:rPr>
        <w:lastRenderedPageBreak/>
        <w:t>PART 4</w:t>
      </w:r>
    </w:p>
    <w:p w14:paraId="0EB15914" w14:textId="77777777" w:rsidR="002050C3" w:rsidRDefault="00000000">
      <w:pPr>
        <w:pStyle w:val="Heading1"/>
      </w:pPr>
      <w:r>
        <w:t>Scientific Evidence Review</w:t>
      </w:r>
    </w:p>
    <w:p w14:paraId="44B30558" w14:textId="77777777" w:rsidR="002050C3" w:rsidRDefault="00000000">
      <w:pPr>
        <w:pStyle w:val="Heading2"/>
        <w:spacing w:before="300" w:after="200"/>
      </w:pPr>
      <w:r>
        <w:t>4.1. The Ricardo Evidence Review for Defra (2022)</w:t>
      </w:r>
    </w:p>
    <w:p w14:paraId="22E0D9D6" w14:textId="77777777" w:rsidR="002050C3" w:rsidRDefault="00000000">
      <w:pPr>
        <w:spacing w:after="160" w:line="276" w:lineRule="auto"/>
        <w:ind w:left="360"/>
      </w:pPr>
      <w:r>
        <w:rPr>
          <w:b/>
          <w:bCs/>
          <w:color w:val="1B2A4A"/>
        </w:rPr>
        <w:t xml:space="preserve">Finding: </w:t>
      </w:r>
      <w:r>
        <w:rPr>
          <w:color w:val="2C2C2C"/>
        </w:rPr>
        <w:t>The Ricardo report (Project RDE002) noted limitations in the earlier EU Ecodesign “heated filter” method for capturing PM₂.₅ emissions. The updated EN 16510 series now combines a heated filter with FID (Flame Ionisation Detector) measurement, providing more comprehensive emissions coverage. However, methodological differences between national test protocols remain a significant barrier to direct cross-jurisdictional comparison.</w:t>
      </w:r>
    </w:p>
    <w:p w14:paraId="2711AA8E" w14:textId="77777777" w:rsidR="002050C3" w:rsidRDefault="00000000">
      <w:pPr>
        <w:spacing w:after="160" w:line="276" w:lineRule="auto"/>
        <w:ind w:left="360"/>
      </w:pPr>
      <w:r>
        <w:rPr>
          <w:b/>
          <w:bCs/>
          <w:color w:val="1B2A4A"/>
        </w:rPr>
        <w:t xml:space="preserve">Relevance to Masonry Heaters: </w:t>
      </w:r>
      <w:r>
        <w:rPr>
          <w:color w:val="2C2C2C"/>
        </w:rPr>
        <w:t>UK Dilution Tunnel methods (BS 3841) capture total PM (filterable + condensable). Because masonry heaters with well-designed fireboxes operate at high temperatures, the high combustion temperatures significantly reduce condensable VOC formation within the firebox. Published data from Lopez Labs and Finnish VTT indicates that the total PM profile of well-designed masonry heaters is substantially lower than that of conventional continuous-burn appliances operated under typical domestic conditions.</w:t>
      </w:r>
    </w:p>
    <w:p w14:paraId="6BC8CBD2" w14:textId="77777777" w:rsidR="002050C3" w:rsidRDefault="00000000">
      <w:pPr>
        <w:pStyle w:val="Heading2"/>
        <w:spacing w:before="300" w:after="200"/>
      </w:pPr>
      <w:r>
        <w:t>4.2. Swiss Federal Research: Storage Heaters vs Fireplaces (2007)</w:t>
      </w:r>
    </w:p>
    <w:p w14:paraId="6B000001" w14:textId="77777777" w:rsidR="002050C3" w:rsidRDefault="00000000">
      <w:pPr>
        <w:spacing w:before="120" w:after="120"/>
      </w:pPr>
      <w:r>
        <w:rPr>
          <w:color w:val="2C2C2C"/>
        </w:rPr>
        <w:t>A Swiss Federal Office for the Environment research programme (Gaegauf and Sattler, Ökozentrum Langenbruck, December 2007, Project UTF 217.08.07), conducted comparative particle emission measurements on fireplaces, wood-burning stoves, and storage heaters using both dilution tunnel and extended aerosol analysis with Paul Scherrer Institute instrumentation. At nominal load, the storage heater’s dust emissions were 20% below the German BImSchV 2015 target value of 40 mg/m³ at 13% O₂. Fireplaces exceeded this target by 60–180%. Top-down ignition reduced dust emissions by approximately 60% in fireplaces and 50% in masonry heaters compared to conventional ignition methods. When burning approximately the same amount of fuel (15 kg), the storage heater produced the lowest total dust emissions of all appliance types tested, despite its measurement including the cold-start ignition phase.</w:t>
      </w:r>
    </w:p>
    <w:p w14:paraId="5A85F432" w14:textId="77777777" w:rsidR="002050C3" w:rsidRDefault="00000000">
      <w:pPr>
        <w:pBdr>
          <w:bottom w:val="single" w:sz="6" w:space="8" w:color="C4A35A"/>
        </w:pBdr>
        <w:spacing w:before="300" w:after="80"/>
      </w:pPr>
      <w:r>
        <w:rPr>
          <w:b/>
          <w:bCs/>
          <w:color w:val="1B2A4A"/>
          <w:sz w:val="26"/>
          <w:szCs w:val="26"/>
        </w:rPr>
        <w:t>4.3. Test Cycle Comparison</w:t>
      </w:r>
    </w:p>
    <w:p w14:paraId="11402703" w14:textId="77777777" w:rsidR="002050C3" w:rsidRDefault="00000000">
      <w:pPr>
        <w:spacing w:after="160" w:line="276" w:lineRule="auto"/>
        <w:ind w:left="360"/>
      </w:pPr>
      <w:r>
        <w:rPr>
          <w:b/>
          <w:bCs/>
          <w:color w:val="1B2A4A"/>
        </w:rPr>
        <w:t xml:space="preserve">Steady-State (EU Ecodesign): </w:t>
      </w:r>
      <w:r>
        <w:rPr>
          <w:color w:val="2C2C2C"/>
        </w:rPr>
        <w:t>Misses startup and cooldown phases, rendering it unrepresentative of real-life operation (DBFZ Report Nr. 3).</w:t>
      </w:r>
    </w:p>
    <w:p w14:paraId="65254AF8" w14:textId="77777777" w:rsidR="002050C3" w:rsidRDefault="00000000">
      <w:pPr>
        <w:spacing w:after="160" w:line="276" w:lineRule="auto"/>
        <w:ind w:left="360"/>
      </w:pPr>
      <w:r>
        <w:rPr>
          <w:b/>
          <w:bCs/>
          <w:color w:val="1B2A4A"/>
        </w:rPr>
        <w:t xml:space="preserve">Hot-to-Hot (US EPA M28A): </w:t>
      </w:r>
      <w:r>
        <w:rPr>
          <w:color w:val="2C2C2C"/>
        </w:rPr>
        <w:t>Misses approximately 33% of real-world emissions by testing from an already-hot coal bed (Shelton, 1986).</w:t>
      </w:r>
    </w:p>
    <w:p w14:paraId="62BA04BA" w14:textId="77777777" w:rsidR="002050C3" w:rsidRDefault="00000000">
      <w:pPr>
        <w:spacing w:after="160" w:line="276" w:lineRule="auto"/>
        <w:ind w:left="360"/>
      </w:pPr>
      <w:r>
        <w:rPr>
          <w:b/>
          <w:bCs/>
          <w:color w:val="1B2A4A"/>
        </w:rPr>
        <w:t xml:space="preserve">Cold-to-Cold (Lopez Labs / MH Testing): </w:t>
      </w:r>
      <w:r>
        <w:rPr>
          <w:color w:val="2C2C2C"/>
        </w:rPr>
        <w:t>Captures the entire cycle, including the highest-emission cold startup phase. Despite this rigorous standard, masonry heaters achieve an average of 1.27 g/kg (103 tests, 2010 summary), with advanced firebox designs under 1.0 g/kg.</w:t>
      </w:r>
    </w:p>
    <w:p w14:paraId="15543E59" w14:textId="77777777" w:rsidR="002050C3" w:rsidRDefault="00000000">
      <w:r>
        <w:br w:type="page"/>
      </w:r>
    </w:p>
    <w:p w14:paraId="5BE88996" w14:textId="77777777" w:rsidR="002050C3" w:rsidRDefault="00000000">
      <w:pPr>
        <w:pBdr>
          <w:top w:val="single" w:sz="6" w:space="4" w:color="1B2A4A"/>
        </w:pBdr>
        <w:spacing w:before="400" w:after="80"/>
      </w:pPr>
      <w:r>
        <w:rPr>
          <w:b/>
          <w:bCs/>
          <w:caps/>
          <w:color w:val="C4A35A"/>
          <w:sz w:val="18"/>
          <w:szCs w:val="18"/>
        </w:rPr>
        <w:lastRenderedPageBreak/>
        <w:t>PART 5</w:t>
      </w:r>
    </w:p>
    <w:p w14:paraId="02F3349C" w14:textId="77777777" w:rsidR="002050C3" w:rsidRDefault="00000000">
      <w:pPr>
        <w:pStyle w:val="Heading1"/>
      </w:pPr>
      <w:r>
        <w:t>The Legal and Standards Framework</w:t>
      </w:r>
    </w:p>
    <w:p w14:paraId="4735F47A" w14:textId="77777777" w:rsidR="002050C3" w:rsidRDefault="00000000">
      <w:pPr>
        <w:spacing w:after="160" w:line="276" w:lineRule="auto"/>
      </w:pPr>
      <w:r>
        <w:rPr>
          <w:color w:val="2C2C2C"/>
        </w:rPr>
        <w:t>The UK does not need to draft new standards; the required technical frameworks have already been adopted by the British Standards Institution (BSI).</w:t>
      </w:r>
    </w:p>
    <w:p w14:paraId="7BF0C1D0" w14:textId="77777777" w:rsidR="002050C3" w:rsidRDefault="00000000">
      <w:pPr>
        <w:pStyle w:val="Heading2"/>
        <w:spacing w:before="300" w:after="200"/>
      </w:pPr>
      <w:r>
        <w:t>5.1. BS EN 15250:2007 / EN 16510-2-5 — Slow Heat Release Appliances</w:t>
      </w:r>
    </w:p>
    <w:p w14:paraId="5E484312" w14:textId="77777777" w:rsidR="002050C3" w:rsidRDefault="00000000">
      <w:pPr>
        <w:spacing w:after="160" w:line="276" w:lineRule="auto"/>
      </w:pPr>
      <w:r>
        <w:rPr>
          <w:color w:val="2C2C2C"/>
        </w:rPr>
        <w:t>Unlike standard stoves, masonry heaters are classified under BS EN 15250 (now replaced by EN 16510-2-5, which added PM, VOC, and NOx measurement requirements). This standard mandates that manufacturers declare the “thermal storage capacity” of the mass, creating a clear legal distinction from continuous-burn metal stoves.</w:t>
      </w:r>
    </w:p>
    <w:p w14:paraId="1A001002" w14:textId="77777777" w:rsidR="002050C3" w:rsidRDefault="00000000">
      <w:pPr>
        <w:pBdr>
          <w:left w:val="single" w:sz="12" w:space="8" w:color="1565C0"/>
        </w:pBdr>
        <w:shd w:val="clear" w:color="auto" w:fill="F0F7FF"/>
        <w:spacing w:after="160" w:line="276" w:lineRule="auto"/>
      </w:pPr>
      <w:r>
        <w:rPr>
          <w:b/>
          <w:bCs/>
          <w:color w:val="1565C0"/>
        </w:rPr>
        <w:t xml:space="preserve">Critical regulatory gap (FprEN 16510-2-5:2025): </w:t>
      </w:r>
      <w:r>
        <w:rPr>
          <w:color w:val="2C2C2C"/>
        </w:rPr>
        <w:t>The incoming European standard that will supersede EN 15250 for slow heat release appliances explicitly states in Clause 1: “This document is not applicable to: one off installations.” Site-built masonry heaters are, by definition, one-off installations. The EN 16510 product testing framework therefore creates a regulatory void for bespoke, site-built heaters. BS EN 15544:2023 is the only harmonised European standard that provides a compliance pathway for these appliances.</w:t>
      </w:r>
    </w:p>
    <w:p w14:paraId="1541E2C8" w14:textId="77777777" w:rsidR="002050C3" w:rsidRDefault="00000000">
      <w:pPr>
        <w:pStyle w:val="Heading2"/>
        <w:spacing w:before="300" w:after="200"/>
      </w:pPr>
      <w:r>
        <w:t>5.2. BS EN 15544:2009/2023 — Certification by Calculation</w:t>
      </w:r>
    </w:p>
    <w:p w14:paraId="1BA5D2F3" w14:textId="77777777" w:rsidR="002050C3" w:rsidRDefault="00000000">
      <w:pPr>
        <w:spacing w:after="160" w:line="276" w:lineRule="auto"/>
      </w:pPr>
      <w:r>
        <w:rPr>
          <w:color w:val="2C2C2C"/>
        </w:rPr>
        <w:t>BS EN 15544 provides a calculation method for “one-off mortared stoves.” If an artisan adheres to the specific dimensioning rules — firebox surface area, flue channel length, air intake cross-sections ensuring gas speeds of 2–4 m/s — the appliance is proven to achieve: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050C3" w14:paraId="5CC00BA2"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39A61E9" w14:textId="77777777" w:rsidR="002050C3" w:rsidRDefault="00000000">
            <w:r>
              <w:rPr>
                <w:b/>
                <w:bCs/>
                <w:color w:val="FFFFFF"/>
                <w:sz w:val="20"/>
                <w:szCs w:val="20"/>
              </w:rPr>
              <w:t>Dust (PM)</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4AAF2E0" w14:textId="77777777" w:rsidR="002050C3" w:rsidRDefault="00000000">
            <w:r>
              <w:rPr>
                <w:b/>
                <w:bCs/>
                <w:color w:val="FFFFFF"/>
                <w:sz w:val="20"/>
                <w:szCs w:val="20"/>
              </w:rPr>
              <w:t>CO</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D343CEF" w14:textId="77777777" w:rsidR="002050C3" w:rsidRDefault="00000000">
            <w:r>
              <w:rPr>
                <w:b/>
                <w:bCs/>
                <w:color w:val="FFFFFF"/>
                <w:sz w:val="20"/>
                <w:szCs w:val="20"/>
              </w:rPr>
              <w:t>NO₂</w:t>
            </w:r>
          </w:p>
        </w:tc>
        <w:tc>
          <w:tcPr>
            <w:tcW w:w="2258"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58129A8E" w14:textId="77777777" w:rsidR="002050C3" w:rsidRDefault="00000000">
            <w:r>
              <w:rPr>
                <w:b/>
                <w:bCs/>
                <w:color w:val="FFFFFF"/>
                <w:sz w:val="20"/>
                <w:szCs w:val="20"/>
              </w:rPr>
              <w:t>Efficiency</w:t>
            </w:r>
          </w:p>
        </w:tc>
      </w:tr>
      <w:tr w:rsidR="002050C3" w14:paraId="40FCCEB8"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E8B1BB8" w14:textId="77777777" w:rsidR="002050C3" w:rsidRDefault="00000000">
            <w:r>
              <w:rPr>
                <w:b/>
                <w:bCs/>
                <w:color w:val="1B2A4A"/>
                <w:sz w:val="20"/>
                <w:szCs w:val="20"/>
              </w:rPr>
              <w:t>≤60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9B341D4" w14:textId="77777777" w:rsidR="002050C3" w:rsidRDefault="00000000">
            <w:r>
              <w:rPr>
                <w:b/>
                <w:bCs/>
                <w:color w:val="1B2A4A"/>
                <w:sz w:val="20"/>
                <w:szCs w:val="20"/>
              </w:rPr>
              <w:t>≤1000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7CF12FA3" w14:textId="77777777" w:rsidR="002050C3" w:rsidRDefault="00000000">
            <w:r>
              <w:rPr>
                <w:b/>
                <w:bCs/>
                <w:color w:val="1B2A4A"/>
                <w:sz w:val="20"/>
                <w:szCs w:val="20"/>
              </w:rPr>
              <w:t>≤150 mg/MJ</w:t>
            </w:r>
          </w:p>
        </w:tc>
        <w:tc>
          <w:tcPr>
            <w:tcW w:w="2258"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BBD874F" w14:textId="77777777" w:rsidR="002050C3" w:rsidRDefault="00000000">
            <w:r>
              <w:rPr>
                <w:b/>
                <w:bCs/>
                <w:color w:val="1B2A4A"/>
                <w:sz w:val="20"/>
                <w:szCs w:val="20"/>
              </w:rPr>
              <w:t>≥78%</w:t>
            </w:r>
          </w:p>
        </w:tc>
      </w:tr>
    </w:tbl>
    <w:p w14:paraId="3D934DB3" w14:textId="77777777" w:rsidR="002050C3" w:rsidRDefault="002050C3">
      <w:pPr>
        <w:spacing w:after="160" w:line="276" w:lineRule="auto"/>
      </w:pPr>
    </w:p>
    <w:p w14:paraId="5718923C" w14:textId="77777777" w:rsidR="002050C3" w:rsidRDefault="00000000">
      <w:pPr>
        <w:spacing w:after="160" w:line="276" w:lineRule="auto"/>
        <w:ind w:left="360"/>
      </w:pPr>
      <w:r>
        <w:rPr>
          <w:b/>
          <w:bCs/>
          <w:color w:val="1B2A4A"/>
        </w:rPr>
        <w:t xml:space="preserve">The Austrian Legal Precedent: </w:t>
      </w:r>
      <w:r>
        <w:rPr>
          <w:color w:val="2C2C2C"/>
        </w:rPr>
        <w:t>Under Austrian 15a B-VG law, this calculation is accepted as a recognised compliance pathway for site-built heaters. This zero-cost regulatory pathway enables artisanal builders to demonstrate compliance without the £10,000+ cost of physical lab testing for bespoke, site-built heaters.</w:t>
      </w:r>
    </w:p>
    <w:p w14:paraId="6A000001" w14:textId="77777777" w:rsidR="002050C3" w:rsidRDefault="00000000">
      <w:pPr>
        <w:spacing w:before="120" w:after="120"/>
      </w:pPr>
      <w:r>
        <w:rPr>
          <w:color w:val="2C2C2C"/>
        </w:rPr>
        <w:t>The EN 15544 standard also specifies an OGC (Organically Bound Carbon) limit of ≤80 mg/MJ, completing a five-parameter performance framework: Dust ≤60, CO ≤1000, NO₂ ≤150, OGC ≤80 (all mg/MJ), and efficiency ≥78%.</w:t>
      </w:r>
    </w:p>
    <w:p w14:paraId="6A000002" w14:textId="77777777" w:rsidR="002050C3" w:rsidRDefault="00000000">
      <w:pPr>
        <w:spacing w:before="120" w:after="120"/>
      </w:pPr>
      <w:r>
        <w:rPr>
          <w:color w:val="2C2C2C"/>
        </w:rPr>
        <w:t>Independently verified emission test results from the Austrian Kachelofen Association’s Testing and Research Institute (Notified Body 1733, TU Vienna) confirm that even standard traditional tile stove combustion chambers achieve dust levels of 25–33 mg/m³ at 13% O₂ — well below the Ecodesign limit of 40 mg/m³. The advanced UmweltPlus (eco+) combustion chamber achieves CO 557 mg/m³, Dust 30 mg/m³, OGC 39 mg/m³, and efficiency &gt;80%. The 15a combustion chamber achieves CO 1,154 mg/m³, Dust 25 mg/m³, OGC 40 mg/m³, and efficiency &gt;80%. These results demonstrate that the performance limits guaranteed by EN 15544 are conservative — real-world masonry heater combustion chambers consistently outperform them.</w:t>
      </w:r>
    </w:p>
    <w:p w14:paraId="64AEE934" w14:textId="77777777" w:rsidR="002050C3" w:rsidRDefault="00000000">
      <w:r>
        <w:br w:type="page"/>
      </w:r>
    </w:p>
    <w:p w14:paraId="25354ED4" w14:textId="77777777" w:rsidR="002050C3" w:rsidRDefault="00000000">
      <w:pPr>
        <w:pBdr>
          <w:top w:val="single" w:sz="6" w:space="4" w:color="1B2A4A"/>
        </w:pBdr>
        <w:spacing w:before="400" w:after="80"/>
      </w:pPr>
      <w:r>
        <w:rPr>
          <w:b/>
          <w:bCs/>
          <w:caps/>
          <w:color w:val="C4A35A"/>
          <w:sz w:val="18"/>
          <w:szCs w:val="18"/>
        </w:rPr>
        <w:lastRenderedPageBreak/>
        <w:t>PART 6</w:t>
      </w:r>
    </w:p>
    <w:p w14:paraId="091DD3D1" w14:textId="77777777" w:rsidR="002050C3" w:rsidRDefault="00000000">
      <w:pPr>
        <w:pStyle w:val="Heading1"/>
      </w:pPr>
      <w:r>
        <w:t>Global Jurisdictional Precedents</w:t>
      </w:r>
    </w:p>
    <w:p w14:paraId="5853A043" w14:textId="77777777" w:rsidR="002050C3" w:rsidRDefault="00000000">
      <w:pPr>
        <w:spacing w:after="160" w:line="276" w:lineRule="auto"/>
      </w:pPr>
      <w:r>
        <w:rPr>
          <w:color w:val="2C2C2C"/>
        </w:rPr>
        <w:t>A comparative analysis indicates that the UK is an outlier in its approach to high-mass thermal appliances. Austria, France, Germany, the Nordic countries, and the United States all provide regulatory pathways — whether through calculation-based certification, mass-based exemptions, or explicit categories for slow heat release appliances. The UK currently has none.</w:t>
      </w:r>
    </w:p>
    <w:p w14:paraId="1B38120B" w14:textId="77777777" w:rsidR="002050C3" w:rsidRDefault="00000000">
      <w:pPr>
        <w:pBdr>
          <w:top w:val="single" w:sz="6" w:space="4" w:color="1B2A4A"/>
        </w:pBdr>
        <w:spacing w:before="400" w:after="80"/>
      </w:pPr>
      <w:r>
        <w:rPr>
          <w:b/>
          <w:bCs/>
          <w:caps/>
          <w:color w:val="C4A35A"/>
          <w:sz w:val="18"/>
          <w:szCs w:val="18"/>
        </w:rPr>
        <w:t>PART 7</w:t>
      </w:r>
    </w:p>
    <w:p w14:paraId="5118F275" w14:textId="77777777" w:rsidR="002050C3" w:rsidRDefault="00000000">
      <w:pPr>
        <w:pStyle w:val="Heading1"/>
      </w:pPr>
      <w:r>
        <w:t>The “French Model” — A Roadmap for the UK</w:t>
      </w:r>
    </w:p>
    <w:p w14:paraId="451A50C4" w14:textId="77777777" w:rsidR="002050C3" w:rsidRDefault="00000000">
      <w:pPr>
        <w:spacing w:after="160" w:line="276" w:lineRule="auto"/>
      </w:pPr>
      <w:r>
        <w:rPr>
          <w:color w:val="2C2C2C"/>
        </w:rPr>
        <w:t>In 2013, France had zero regulatory recognition for masonry heaters. Today, thanks to the AFPMA (Association Française du Poêle Maçonné Artisanal), approximately 300–600 artisanal masonry heaters are installed annually by approximately 60 professionals, with reported growth of 50% per year in 2023–2024. Germany, by comparison, installs approximately 19,000 per year through 1,500 tradespeople — demonstrating the market potential once a regulatory framework is established. The French government agency ADEME officially describes masonry heaters as “the most efficient in use” of all wood-burning appliance types. The UK could follow a similar pathway:</w:t>
      </w:r>
    </w:p>
    <w:p w14:paraId="1D993603" w14:textId="77777777" w:rsidR="002050C3" w:rsidRDefault="00000000">
      <w:pPr>
        <w:spacing w:after="160" w:line="276" w:lineRule="auto"/>
        <w:ind w:left="360"/>
      </w:pPr>
      <w:r>
        <w:rPr>
          <w:b/>
          <w:bCs/>
          <w:color w:val="1B2A4A"/>
        </w:rPr>
        <w:t xml:space="preserve">Step 1 — Establish the UKMHA: </w:t>
      </w:r>
      <w:r>
        <w:rPr>
          <w:color w:val="2C2C2C"/>
        </w:rPr>
        <w:t>Form a UK Masonry Heater Association to interface with Defra, BSI, and HETAS.</w:t>
      </w:r>
    </w:p>
    <w:p w14:paraId="19B9DD85" w14:textId="77777777" w:rsidR="002050C3" w:rsidRDefault="00000000">
      <w:pPr>
        <w:spacing w:after="160" w:line="276" w:lineRule="auto"/>
        <w:ind w:left="360"/>
      </w:pPr>
      <w:r>
        <w:rPr>
          <w:b/>
          <w:bCs/>
          <w:color w:val="1B2A4A"/>
        </w:rPr>
        <w:t xml:space="preserve">Step 2 — Recognise BS EN 15544: </w:t>
      </w:r>
      <w:r>
        <w:rPr>
          <w:color w:val="2C2C2C"/>
        </w:rPr>
        <w:t>Defra should consider formally accepting the calculation method as valid evidence for Smoke Control Area exemptions, providing a pathway for site-built units.</w:t>
      </w:r>
    </w:p>
    <w:p w14:paraId="0A73F549" w14:textId="77777777" w:rsidR="002050C3" w:rsidRDefault="00000000">
      <w:pPr>
        <w:spacing w:after="160" w:line="276" w:lineRule="auto"/>
        <w:ind w:left="360"/>
      </w:pPr>
      <w:r>
        <w:rPr>
          <w:b/>
          <w:bCs/>
          <w:color w:val="1B2A4A"/>
        </w:rPr>
        <w:t xml:space="preserve">Step 3 — Partner with HETAS: </w:t>
      </w:r>
      <w:r>
        <w:rPr>
          <w:color w:val="2C2C2C"/>
        </w:rPr>
        <w:t>Utilise the existing HETAS infrastructure to create a “Poêlier” (Masonry Heater Builder) certification, mirroring the French CQP.</w:t>
      </w:r>
    </w:p>
    <w:p w14:paraId="1D95AD51" w14:textId="77777777" w:rsidR="002050C3" w:rsidRDefault="00000000">
      <w:pPr>
        <w:spacing w:after="160" w:line="276" w:lineRule="auto"/>
        <w:ind w:left="360"/>
      </w:pPr>
      <w:r>
        <w:rPr>
          <w:b/>
          <w:bCs/>
          <w:color w:val="1B2A4A"/>
        </w:rPr>
        <w:t xml:space="preserve">Step 4 — Deploy FIRECALC: </w:t>
      </w:r>
      <w:r>
        <w:rPr>
          <w:color w:val="2C2C2C"/>
        </w:rPr>
        <w:t>Utilise the calculation software developed by the AFPMA to certify complex contraflow systems to UK building standards. Bell system support is in active development.</w:t>
      </w:r>
    </w:p>
    <w:p w14:paraId="1226ADF5" w14:textId="77777777" w:rsidR="002050C3" w:rsidRDefault="00000000">
      <w:r>
        <w:br w:type="page"/>
      </w:r>
    </w:p>
    <w:p w14:paraId="70EC45F3" w14:textId="77777777" w:rsidR="002050C3" w:rsidRDefault="00000000">
      <w:pPr>
        <w:pBdr>
          <w:top w:val="single" w:sz="6" w:space="4" w:color="1B2A4A"/>
        </w:pBdr>
        <w:spacing w:before="400" w:after="80"/>
      </w:pPr>
      <w:r>
        <w:rPr>
          <w:b/>
          <w:bCs/>
          <w:caps/>
          <w:color w:val="C4A35A"/>
          <w:sz w:val="18"/>
          <w:szCs w:val="18"/>
        </w:rPr>
        <w:lastRenderedPageBreak/>
        <w:t>PART 8</w:t>
      </w:r>
    </w:p>
    <w:p w14:paraId="33447317" w14:textId="77777777" w:rsidR="002050C3" w:rsidRDefault="00000000">
      <w:pPr>
        <w:pStyle w:val="Heading1"/>
      </w:pPr>
      <w:r>
        <w:t>Analysis of the “850° Grundofen” Position</w:t>
      </w:r>
    </w:p>
    <w:p w14:paraId="63FFFDEA" w14:textId="77777777" w:rsidR="002050C3" w:rsidRDefault="00000000">
      <w:pPr>
        <w:spacing w:after="160" w:line="276" w:lineRule="auto"/>
      </w:pPr>
      <w:r>
        <w:rPr>
          <w:color w:val="2C2C2C"/>
        </w:rPr>
        <w:t>The German association 850° Handwerklicher Grundofen e.V. raises important considerations for Defra regarding the 2026 Consultation. Their position paper examines the gap between laboratory test conditions and real-world appliance operation:</w:t>
      </w:r>
    </w:p>
    <w:p w14:paraId="6EBCDB90" w14:textId="77777777" w:rsidR="002050C3" w:rsidRDefault="00000000">
      <w:pPr>
        <w:spacing w:after="160" w:line="276" w:lineRule="auto"/>
        <w:ind w:left="360"/>
      </w:pPr>
      <w:r>
        <w:rPr>
          <w:b/>
          <w:bCs/>
          <w:color w:val="1B2A4A"/>
        </w:rPr>
        <w:t xml:space="preserve">Lab vs. Reality: </w:t>
      </w:r>
      <w:r>
        <w:rPr>
          <w:color w:val="2C2C2C"/>
        </w:rPr>
        <w:t>Type-testing for standard stoves (such as the UK’s proposed 1 g/h limit or Germany’s 1. BImSchV) is conducted under controlled conditions with seasoned wood, calibrated drafts, and trained operators. In typical domestic use, operator behaviour can significantly affect emissions performance.</w:t>
      </w:r>
    </w:p>
    <w:p w14:paraId="5E40102F" w14:textId="77777777" w:rsidR="002050C3" w:rsidRDefault="00000000">
      <w:pPr>
        <w:spacing w:after="160" w:line="276" w:lineRule="auto"/>
        <w:ind w:left="360"/>
      </w:pPr>
      <w:r>
        <w:rPr>
          <w:b/>
          <w:bCs/>
          <w:color w:val="1B2A4A"/>
        </w:rPr>
        <w:t xml:space="preserve">Operating Characteristics: </w:t>
      </w:r>
      <w:r>
        <w:rPr>
          <w:color w:val="2C2C2C"/>
        </w:rPr>
        <w:t>A single-batch masonry heater significantly reduces operator variability. The combustion air supply is determined by the heater’s design geometry, not by user adjustment. The fuel charge burns at high temperature (typically 700–900°C) through a complete cycle without requiring the door to be reopened for refuelling — reducing both indoor particulate exposure and the potential for incomplete combustion. Published evidence indicates that the real-world emissions of well-designed masonry heaters are substantially lower than those of conventional stoves under typical domestic operating conditions, even where both appliance types meet laboratory test standards.</w:t>
      </w:r>
    </w:p>
    <w:p w14:paraId="5AB9B211" w14:textId="77777777" w:rsidR="002050C3" w:rsidRDefault="00000000">
      <w:pPr>
        <w:pBdr>
          <w:top w:val="single" w:sz="6" w:space="4" w:color="1B2A4A"/>
        </w:pBdr>
        <w:spacing w:before="400" w:after="80"/>
      </w:pPr>
      <w:r>
        <w:rPr>
          <w:b/>
          <w:bCs/>
          <w:caps/>
          <w:color w:val="C4A35A"/>
          <w:sz w:val="18"/>
          <w:szCs w:val="18"/>
        </w:rPr>
        <w:t>PART 9</w:t>
      </w:r>
    </w:p>
    <w:p w14:paraId="20F10B99" w14:textId="77777777" w:rsidR="002050C3" w:rsidRDefault="00000000">
      <w:pPr>
        <w:pStyle w:val="Heading1"/>
      </w:pPr>
      <w:r>
        <w:t>Statutory Recommendations for Defra (2026)</w:t>
      </w:r>
    </w:p>
    <w:p w14:paraId="5A56A2C1" w14:textId="77777777" w:rsidR="002050C3" w:rsidRDefault="00000000">
      <w:pPr>
        <w:spacing w:after="160" w:line="276" w:lineRule="auto"/>
      </w:pPr>
      <w:r>
        <w:rPr>
          <w:color w:val="2C2C2C"/>
        </w:rPr>
        <w:t>The following recommendations are submitted for consideration within the 2026 Consultation timeframe. The objective is to meet the UK’s Air Quality targets (a cumulative 1.08 kilotonne reduction in PM₂.₅ across the period 2027–2036) while supporting sustainable, low-carbon domestic heating:</w:t>
      </w:r>
    </w:p>
    <w:p w14:paraId="48AEAC77" w14:textId="77777777" w:rsidR="002050C3" w:rsidRDefault="00000000">
      <w:pPr>
        <w:spacing w:after="160" w:line="276" w:lineRule="auto"/>
        <w:ind w:left="360"/>
      </w:pPr>
      <w:r>
        <w:rPr>
          <w:b/>
          <w:bCs/>
          <w:color w:val="1B2A4A"/>
        </w:rPr>
        <w:t xml:space="preserve">Recommendation 1 — Acknowledge Historic Precedent: </w:t>
      </w:r>
      <w:r>
        <w:rPr>
          <w:color w:val="2C2C2C"/>
        </w:rPr>
        <w:t>Acknowledge that multi-channel, high-mass masonry heaters have already been tested and exempted (Ref: Defra Exemption No. 554, Jansen Design / Camina), demonstrating their viability in UK Smoke Control Areas.</w:t>
      </w:r>
    </w:p>
    <w:p w14:paraId="701B2FB6" w14:textId="77777777" w:rsidR="002050C3" w:rsidRDefault="00000000">
      <w:pPr>
        <w:spacing w:after="160" w:line="276" w:lineRule="auto"/>
        <w:ind w:left="360"/>
      </w:pPr>
      <w:r>
        <w:rPr>
          <w:b/>
          <w:bCs/>
          <w:color w:val="1B2A4A"/>
        </w:rPr>
        <w:t xml:space="preserve">Recommendation 2 — Transition to mg/MJ for High-Mass Units: </w:t>
      </w:r>
      <w:r>
        <w:rPr>
          <w:color w:val="2C2C2C"/>
        </w:rPr>
        <w:t>Consider replacing the g/h mass-rate limit with an energy-normalized mg/MJ metric for high-efficiency, slow heat release appliances (as defined under BS EN 15250/EN 16510-2-5).</w:t>
      </w:r>
    </w:p>
    <w:p w14:paraId="5E025B31" w14:textId="77777777" w:rsidR="002050C3" w:rsidRDefault="00000000">
      <w:pPr>
        <w:spacing w:after="160" w:line="276" w:lineRule="auto"/>
        <w:ind w:left="360"/>
      </w:pPr>
      <w:r>
        <w:rPr>
          <w:b/>
          <w:bCs/>
          <w:color w:val="1B2A4A"/>
        </w:rPr>
        <w:t xml:space="preserve">Recommendation 3 — Approve Calculation-Based Certification: </w:t>
      </w:r>
      <w:r>
        <w:rPr>
          <w:color w:val="2C2C2C"/>
        </w:rPr>
        <w:t>Consider adopting BS EN 15544:2023 as an officially sanctioned calculation method, providing a zero-cost regulatory pathway for artisanal builders.</w:t>
      </w:r>
    </w:p>
    <w:p w14:paraId="46876E26" w14:textId="54997DBF" w:rsidR="00C527D1" w:rsidRPr="00C527D1" w:rsidRDefault="00000000" w:rsidP="00C527D1">
      <w:pPr>
        <w:spacing w:after="160" w:line="276" w:lineRule="auto"/>
        <w:ind w:left="360"/>
        <w:rPr>
          <w:b/>
          <w:bCs/>
        </w:rPr>
      </w:pPr>
      <w:r>
        <w:rPr>
          <w:b/>
          <w:bCs/>
          <w:color w:val="1B2A4A"/>
        </w:rPr>
        <w:t xml:space="preserve">Recommendation 4 — Differentiate Appliance Categories: </w:t>
      </w:r>
      <w:r>
        <w:rPr>
          <w:color w:val="2C2C2C"/>
        </w:rPr>
        <w:t xml:space="preserve">Consider distinguishing “Slow Heat Release Appliances” (thermal mass) from “Continuous Release Appliances” </w:t>
        <w:lastRenderedPageBreak/>
        <w:t>(metal stoves) within the Clean Air Act amendments, consistent with the approach taken by Sweden, the US, and the EU Ecodesign framework.</w:t>
        <w:br/>
        <w:br/>
      </w:r>
      <w:r>
        <w:rPr>
          <w:b/>
          <w:bCs/>
        </w:rPr>
        <w:t>Recommendation 5 - Update Approved Document J to Include Masonry Heaters</w:t>
      </w:r>
    </w:p>
    <w:p w14:paraId="497DB912" w14:textId="5BDEC924" w:rsidR="00C527D1" w:rsidRPr="00C527D1" w:rsidRDefault="00C527D1" w:rsidP="00C527D1">
      <w:pPr>
        <w:spacing w:after="160" w:line="276" w:lineRule="auto"/>
        <w:ind w:left="360"/>
        <w:rPr>
          <w:b/>
          <w:bCs/>
        </w:rPr>
      </w:pPr>
      <w:hyperlink r:id="rId7" w:tgtFrame="_blank" w:history="1">
        <w:r>
          <w:rPr>
            <w:rStyle w:val="Hyperlink"/>
          </w:rPr>
          <w:t>Approved Document J</w:t>
        </w:r>
      </w:hyperlink>
      <w:r>
        <w:t> (Combustion Appliances and Fuel Storage Systems, 2022 edition) — the principal Building Regulations guidance for solid fuel installations in England — contains no reference to masonry heaters, slow heat release appliances, site-built bespoke stoves, BS EN 15544, BS EN 15250, kakelugn, kachelofen, batch combustion, or thermal mass appliances. Section 2 covers solid fuel appliances up to 50kW but treats all appliances as a single category. A new sub-section should be considered covering bespoke masonry stoves and slow heat release appliances, including installation guidance, clearance distances for thermal mass, and reference to the BS EN 15544 calculation method and BS EN 15250 classification.</w:t>
        <w:br/>
        <w:br/>
      </w:r>
      <w:r>
        <w:rPr>
          <w:b/>
          <w:bCs/>
        </w:rPr>
        <w:t>Recommendation 6 - Establish a HETAS Masonry Heater Installer Pathway</w:t>
      </w:r>
    </w:p>
    <w:p w14:paraId="7731C220" w14:textId="77777777" w:rsidR="00C527D1" w:rsidRPr="00C527D1" w:rsidRDefault="00C527D1" w:rsidP="00C527D1">
      <w:pPr>
        <w:spacing w:after="160" w:line="276" w:lineRule="auto"/>
        <w:ind w:left="360"/>
      </w:pPr>
      <w:r>
        <w:t>HETAS currently provides competent person certification for conventional stove installation but has no dedicated training or assessment pathway for bespoke masonry heaters. In practice, qualified masonry heater builders have been signing off site-built installations through HETAS for over 12 years, demonstrating that the process is viable. Defra should consider working with HETAS to formalise a masonry heater builder certification, incorporating BS EN 15544 calculation competency, thermal mass installation standards, and chimney system design for high-temperature batch combustion — mirroring the French CQP model established by AFPMA.</w:t>
      </w:r>
    </w:p>
    <w:p w14:paraId="0DF0CC4E" w14:textId="4AF1369E" w:rsidR="00C527D1" w:rsidRPr="00C527D1" w:rsidRDefault="00C527D1" w:rsidP="00C527D1">
      <w:pPr>
        <w:spacing w:after="160" w:line="276" w:lineRule="auto"/>
        <w:ind w:left="360"/>
      </w:pPr>
    </w:p>
    <w:p w14:paraId="1B714D3B" w14:textId="69DA75B2" w:rsidR="002050C3" w:rsidRDefault="002050C3">
      <w:pPr>
        <w:spacing w:after="160" w:line="276" w:lineRule="auto"/>
        <w:ind w:left="360"/>
      </w:pPr>
    </w:p>
    <w:p w14:paraId="64AC8F85" w14:textId="77777777" w:rsidR="002050C3" w:rsidRDefault="00000000">
      <w:r>
        <w:br w:type="page"/>
      </w:r>
    </w:p>
    <w:p w14:paraId="4B0ADF45" w14:textId="77777777" w:rsidR="002050C3" w:rsidRDefault="00000000">
      <w:pPr>
        <w:pBdr>
          <w:top w:val="single" w:sz="6" w:space="4" w:color="1B2A4A"/>
        </w:pBdr>
        <w:spacing w:before="400" w:after="80"/>
      </w:pPr>
      <w:r>
        <w:rPr>
          <w:b/>
          <w:bCs/>
          <w:caps/>
          <w:color w:val="C4A35A"/>
          <w:sz w:val="18"/>
          <w:szCs w:val="18"/>
        </w:rPr>
        <w:lastRenderedPageBreak/>
        <w:t>PART 10</w:t>
      </w:r>
    </w:p>
    <w:p w14:paraId="7B2440DD" w14:textId="77777777" w:rsidR="002050C3" w:rsidRDefault="00000000">
      <w:pPr>
        <w:pStyle w:val="Heading1"/>
      </w:pPr>
      <w:r>
        <w:t>Conclusion</w:t>
      </w:r>
    </w:p>
    <w:p w14:paraId="38D96695" w14:textId="77777777" w:rsidR="002050C3" w:rsidRDefault="002050C3">
      <w:pPr>
        <w:pBdr>
          <w:bottom w:val="single" w:sz="6" w:space="1" w:color="C4A35A"/>
        </w:pBdr>
        <w:spacing w:before="200" w:after="200"/>
      </w:pPr>
    </w:p>
    <w:p w14:paraId="07412532" w14:textId="77777777" w:rsidR="002050C3" w:rsidRDefault="00000000">
      <w:pPr>
        <w:spacing w:after="160" w:line="276" w:lineRule="auto"/>
      </w:pPr>
      <w:r>
        <w:rPr>
          <w:b/>
          <w:bCs/>
          <w:color w:val="2C2C2C"/>
        </w:rPr>
        <w:t>The evidence base is substantial and internationally validated. Masonry heaters — whether the Swedish Kakelugn, the Austrian UmweltPlus, or the German Grundofen — represent an established, high-performance category of solid-fuel combustion technology. The current UK proposal to apply a 1 g/h limit using 1960s-era testing methodologies (PD 6434 / BS 3841) does not accommodate a proven technology class that could contribute materially to the UK’s domestic air quality objectives.</w:t>
      </w:r>
    </w:p>
    <w:p w14:paraId="693C9214" w14:textId="77777777" w:rsidR="002050C3" w:rsidRDefault="00000000">
      <w:pPr>
        <w:spacing w:after="160" w:line="276" w:lineRule="auto"/>
      </w:pPr>
      <w:r>
        <w:rPr>
          <w:color w:val="2C2C2C"/>
        </w:rPr>
        <w:t>By formally recognising the European Calculation-Based Framework (BS EN 15544), acknowledging the distinct operational physics of thermal mass (BS EN 15250/EN 16510-2-5), and considering energy-normalized metrics (mg/MJ), the UK Government can align with international best practice and support the deployment of ultra-low emission heating technology at zero cost to the exchequer.</w:t>
      </w:r>
    </w:p>
    <w:p w14:paraId="53BCFBD5" w14:textId="77777777" w:rsidR="002050C3" w:rsidRDefault="002050C3">
      <w:pPr>
        <w:pBdr>
          <w:bottom w:val="single" w:sz="6" w:space="1" w:color="C4A35A"/>
        </w:pBdr>
        <w:spacing w:before="200" w:after="200"/>
      </w:pPr>
    </w:p>
    <w:p w14:paraId="1415E9CE" w14:textId="77777777" w:rsidR="002050C3" w:rsidRDefault="00000000">
      <w:pPr>
        <w:spacing w:after="160" w:line="276" w:lineRule="auto"/>
      </w:pPr>
      <w:r>
        <w:rPr>
          <w:b/>
          <w:bCs/>
          <w:color w:val="1B2A4A"/>
        </w:rPr>
        <w:t>Zero cost to government. The standard, the software, and the precedent already exist.</w:t>
      </w:r>
    </w:p>
    <w:p w14:paraId="27B74BFE" w14:textId="77777777" w:rsidR="002050C3" w:rsidRDefault="002050C3">
      <w:pPr>
        <w:spacing w:after="160" w:line="276" w:lineRule="auto"/>
      </w:pPr>
    </w:p>
    <w:p w14:paraId="3DEB260A" w14:textId="77777777" w:rsidR="002050C3" w:rsidRDefault="00000000">
      <w:pPr>
        <w:pBdr>
          <w:top w:val="single" w:sz="2" w:space="4" w:color="1B2A4A"/>
        </w:pBdr>
        <w:spacing w:before="400" w:after="200"/>
      </w:pPr>
      <w:r>
        <w:rPr>
          <w:b/>
          <w:bCs/>
          <w:caps/>
          <w:color w:val="1B2A4A"/>
          <w:sz w:val="18"/>
          <w:szCs w:val="18"/>
        </w:rPr>
        <w:t>SOURCES AND REFERENCES</w:t>
      </w:r>
    </w:p>
    <w:p w14:paraId="011F3483" w14:textId="77777777" w:rsidR="002050C3" w:rsidRDefault="00000000">
      <w:pPr>
        <w:spacing w:after="160" w:line="276" w:lineRule="auto"/>
      </w:pPr>
      <w:r>
        <w:rPr>
          <w:color w:val="6B6B6B"/>
        </w:rPr>
        <w:t>BS EN 15544:2023 · BS EN 15250:2007 · BS 3841:1994 · PD 6434:1969</w:t>
      </w:r>
    </w:p>
    <w:p w14:paraId="252E4821" w14:textId="77777777" w:rsidR="002050C3" w:rsidRDefault="00000000">
      <w:pPr>
        <w:spacing w:after="160" w:line="276" w:lineRule="auto"/>
      </w:pPr>
      <w:r>
        <w:rPr>
          <w:color w:val="6B6B6B"/>
        </w:rPr>
        <w:t>Austrian 15a B-VG · Ricardo RDE002 (2022) · Lopez Labs / MHA-Net.org · AFPMA.pro</w:t>
      </w:r>
    </w:p>
    <w:p w14:paraId="7B91D8DA" w14:textId="77777777" w:rsidR="002050C3" w:rsidRDefault="00000000">
      <w:pPr>
        <w:spacing w:after="160" w:line="276" w:lineRule="auto"/>
      </w:pPr>
      <w:r>
        <w:rPr>
          <w:color w:val="6B6B6B"/>
        </w:rPr>
        <w:t>850grad.org · cechkamnaru.cz · EPA NSPS · DBFZ Report Nr. 3 · Shelton (1986) · Tiegs (1994)</w:t>
      </w:r>
    </w:p>
    <w:p w14:paraId="253917C0" w14:textId="77777777" w:rsidR="002050C3" w:rsidRDefault="00000000">
      <w:pPr>
        <w:spacing w:after="160" w:line="276" w:lineRule="auto"/>
      </w:pPr>
      <w:r>
        <w:rPr>
          <w:color w:val="C4A35A"/>
        </w:rPr>
        <w:t>Defra Exemption No. 554: https://smokecontrol.defra.gov.uk/appliances/jansen-design-stove-using-the-five-channel-system-554/</w:t>
      </w:r>
    </w:p>
    <w:p w14:paraId="1A50D5E0" w14:textId="77777777" w:rsidR="002050C3" w:rsidRDefault="00000000">
      <w:pPr>
        <w:spacing w:after="160" w:line="276" w:lineRule="auto"/>
      </w:pPr>
      <w:r>
        <w:rPr>
          <w:color w:val="C4A35A"/>
        </w:rPr>
        <w:t>Defra Consultation: https://consult.defra.gov.uk/domestic-burning/consultation-on-solid-fuel-burning/</w:t>
      </w:r>
    </w:p>
    <w:p w14:paraId="2A29C3E6" w14:textId="77777777" w:rsidR="002050C3" w:rsidRDefault="002050C3">
      <w:pPr>
        <w:spacing w:after="160" w:line="276" w:lineRule="auto"/>
      </w:pPr>
    </w:p>
    <w:p w14:paraId="1F4D1A03" w14:textId="77777777" w:rsidR="002050C3" w:rsidRDefault="00000000">
      <w:pPr>
        <w:spacing w:after="160" w:line="276" w:lineRule="auto"/>
      </w:pPr>
      <w:r>
        <w:rPr>
          <w:i/>
          <w:iCs/>
          <w:color w:val="6B6B6B"/>
        </w:rPr>
        <w:t>Campaign by StoveMason — Masonry Heater Builders Ltd — www.stovemason.com</w:t>
      </w:r>
    </w:p>
    <w:sectPr w:rsidR="002050C3">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611CB" w14:textId="77777777" w:rsidR="0006514A" w:rsidRDefault="0006514A">
      <w:r>
        <w:separator/>
      </w:r>
    </w:p>
  </w:endnote>
  <w:endnote w:type="continuationSeparator" w:id="0">
    <w:p w14:paraId="3939698C" w14:textId="77777777" w:rsidR="0006514A" w:rsidRDefault="00065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194AA" w14:textId="77777777" w:rsidR="002050C3" w:rsidRDefault="00000000">
    <w:pPr>
      <w:pBdr>
        <w:top w:val="single" w:sz="2" w:space="4" w:color="C4A35A"/>
      </w:pBdr>
      <w:jc w:val="center"/>
    </w:pPr>
    <w:r>
      <w:rPr>
        <w:color w:val="6B6B6B"/>
        <w:sz w:val="16"/>
        <w:szCs w:val="16"/>
      </w:rPr>
      <w:t xml:space="preserve">Campaign by </w:t>
    </w:r>
    <w:proofErr w:type="spellStart"/>
    <w:r>
      <w:rPr>
        <w:color w:val="6B6B6B"/>
        <w:sz w:val="16"/>
        <w:szCs w:val="16"/>
      </w:rPr>
      <w:t>StoveMason</w:t>
    </w:r>
    <w:proofErr w:type="spellEnd"/>
    <w:r>
      <w:rPr>
        <w:color w:val="6B6B6B"/>
        <w:sz w:val="16"/>
        <w:szCs w:val="16"/>
      </w:rPr>
      <w:t xml:space="preserve"> — Masonry Heater Builders Ltd — www.stovemason.com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59672" w14:textId="77777777" w:rsidR="0006514A" w:rsidRDefault="0006514A">
      <w:r>
        <w:separator/>
      </w:r>
    </w:p>
  </w:footnote>
  <w:footnote w:type="continuationSeparator" w:id="0">
    <w:p w14:paraId="7DF3D23D" w14:textId="77777777" w:rsidR="0006514A" w:rsidRDefault="00065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67E61" w14:textId="77777777" w:rsidR="002050C3" w:rsidRDefault="00000000">
    <w:pPr>
      <w:jc w:val="right"/>
    </w:pPr>
    <w:r>
      <w:rPr>
        <w:i/>
        <w:iCs/>
        <w:color w:val="6B6B6B"/>
        <w:sz w:val="16"/>
        <w:szCs w:val="16"/>
      </w:rPr>
      <w:t>Executive Evidence Dossier — UK Masonry Heater Recognition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584DF1"/>
    <w:multiLevelType w:val="hybridMultilevel"/>
    <w:tmpl w:val="48BA6B62"/>
    <w:lvl w:ilvl="0" w:tplc="1A769146">
      <w:start w:val="1"/>
      <w:numFmt w:val="bullet"/>
      <w:lvlText w:val="●"/>
      <w:lvlJc w:val="left"/>
      <w:pPr>
        <w:ind w:left="720" w:hanging="360"/>
      </w:pPr>
    </w:lvl>
    <w:lvl w:ilvl="1" w:tplc="B120B420">
      <w:start w:val="1"/>
      <w:numFmt w:val="bullet"/>
      <w:lvlText w:val="○"/>
      <w:lvlJc w:val="left"/>
      <w:pPr>
        <w:ind w:left="1440" w:hanging="360"/>
      </w:pPr>
    </w:lvl>
    <w:lvl w:ilvl="2" w:tplc="9C82AED0">
      <w:start w:val="1"/>
      <w:numFmt w:val="bullet"/>
      <w:lvlText w:val="■"/>
      <w:lvlJc w:val="left"/>
      <w:pPr>
        <w:ind w:left="2160" w:hanging="360"/>
      </w:pPr>
    </w:lvl>
    <w:lvl w:ilvl="3" w:tplc="12746306">
      <w:start w:val="1"/>
      <w:numFmt w:val="bullet"/>
      <w:lvlText w:val="●"/>
      <w:lvlJc w:val="left"/>
      <w:pPr>
        <w:ind w:left="2880" w:hanging="360"/>
      </w:pPr>
    </w:lvl>
    <w:lvl w:ilvl="4" w:tplc="5B2C2378">
      <w:start w:val="1"/>
      <w:numFmt w:val="bullet"/>
      <w:lvlText w:val="○"/>
      <w:lvlJc w:val="left"/>
      <w:pPr>
        <w:ind w:left="3600" w:hanging="360"/>
      </w:pPr>
    </w:lvl>
    <w:lvl w:ilvl="5" w:tplc="08F649BA">
      <w:start w:val="1"/>
      <w:numFmt w:val="bullet"/>
      <w:lvlText w:val="■"/>
      <w:lvlJc w:val="left"/>
      <w:pPr>
        <w:ind w:left="4320" w:hanging="360"/>
      </w:pPr>
    </w:lvl>
    <w:lvl w:ilvl="6" w:tplc="F9EC7FBE">
      <w:start w:val="1"/>
      <w:numFmt w:val="bullet"/>
      <w:lvlText w:val="●"/>
      <w:lvlJc w:val="left"/>
      <w:pPr>
        <w:ind w:left="5040" w:hanging="360"/>
      </w:pPr>
    </w:lvl>
    <w:lvl w:ilvl="7" w:tplc="26C0D81E">
      <w:start w:val="1"/>
      <w:numFmt w:val="bullet"/>
      <w:lvlText w:val="●"/>
      <w:lvlJc w:val="left"/>
      <w:pPr>
        <w:ind w:left="5760" w:hanging="360"/>
      </w:pPr>
    </w:lvl>
    <w:lvl w:ilvl="8" w:tplc="918AF5A0">
      <w:start w:val="1"/>
      <w:numFmt w:val="bullet"/>
      <w:lvlText w:val="●"/>
      <w:lvlJc w:val="left"/>
      <w:pPr>
        <w:ind w:left="6480" w:hanging="360"/>
      </w:pPr>
    </w:lvl>
  </w:abstractNum>
  <w:num w:numId="1" w16cid:durableId="136093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0C3"/>
    <w:rsid w:val="0006514A"/>
    <w:rsid w:val="00166E4D"/>
    <w:rsid w:val="002050C3"/>
    <w:rsid w:val="00C52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5B366"/>
  <w15:docId w15:val="{315E1612-E790-482A-AA03-4121F091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40"/>
      <w:outlineLvl w:val="0"/>
    </w:pPr>
    <w:rPr>
      <w:b/>
      <w:bCs/>
      <w:color w:val="1B2A4A"/>
      <w:sz w:val="36"/>
      <w:szCs w:val="36"/>
    </w:rPr>
  </w:style>
  <w:style w:type="paragraph" w:styleId="Heading2">
    <w:name w:val="heading 2"/>
    <w:uiPriority w:val="9"/>
    <w:unhideWhenUsed/>
    <w:qFormat/>
    <w:pPr>
      <w:spacing w:before="240" w:after="180"/>
      <w:outlineLvl w:val="1"/>
    </w:pPr>
    <w:rPr>
      <w:b/>
      <w:bCs/>
      <w:color w:val="1B2A4A"/>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C527D1"/>
    <w:rPr>
      <w:color w:val="605E5C"/>
      <w:shd w:val="clear" w:color="auto" w:fill="E1DFDD"/>
    </w:rPr>
  </w:style>
  <w:style w:type="character" w:styleId="FollowedHyperlink">
    <w:name w:val="FollowedHyperlink"/>
    <w:basedOn w:val="DefaultParagraphFont"/>
    <w:uiPriority w:val="99"/>
    <w:semiHidden/>
    <w:unhideWhenUsed/>
    <w:rsid w:val="00C527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ssets.publishing.service.gov.uk/media/6336e58be90e0772dc9651a2/ADJ_202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2275</Words>
  <Characters>12973</Characters>
  <Application>Microsoft Office Word</Application>
  <DocSecurity>0</DocSecurity>
  <Lines>108</Lines>
  <Paragraphs>30</Paragraphs>
  <ScaleCrop>false</ScaleCrop>
  <Company/>
  <LinksUpToDate>false</LinksUpToDate>
  <CharactersWithSpaces>15218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Ruzicka</cp:lastModifiedBy>
  <cp:revision>2</cp:revision>
  <dcterms:created xsi:type="dcterms:W3CDTF">2026-03-15T21:24:00Z</dcterms:created>
  <dcterms:modified xsi:type="dcterms:W3CDTF">2026-03-15T21:24:00Z</dcterms:modified>
</cp:coreProperties>
</file>