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657D"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EXECUTIVE EVIDENCE DOSSIER &amp; POLICY EVALUATION: THE CASE FOR HARMONISING UK SOLID FUEL EMISSIONS WITH ADVANCED EUROPEAN MASONRY HEATER FRAMEWORKS</w:t>
      </w:r>
    </w:p>
    <w:p w14:paraId="117E1AA5"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SUBMITTED TO: Department for Environment, Food and Rural Affairs (Defra)</w:t>
      </w:r>
    </w:p>
    <w:p w14:paraId="2DD0E231"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CC: Devolved Administrations (Scottish Government, Welsh Government, DAERA)</w:t>
      </w:r>
    </w:p>
    <w:p w14:paraId="418238C2"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PURPOSE: Comprehensive Statutory Response to the Consultation on Reducing Smoke Emissions from Solid Fuel Burning (Closing 19 March 2026)</w:t>
      </w:r>
    </w:p>
    <w:p w14:paraId="3BC844D7"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DATE: 10 March 2026</w:t>
      </w:r>
    </w:p>
    <w:p w14:paraId="0D05C832"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CLASSIFICATION: Technical Evidence / Statutory Policy Recommendation / Academic Evaluation</w:t>
      </w:r>
    </w:p>
    <w:p w14:paraId="31DDE2B5" w14:textId="77777777" w:rsidR="00C76D6B" w:rsidRPr="00C76D6B" w:rsidRDefault="00000000" w:rsidP="00C76D6B">
      <w:pPr>
        <w:rPr>
          <w:rFonts w:ascii="Times New Roman" w:hAnsi="Times New Roman" w:cs="Times New Roman"/>
          <w:b/>
          <w:bCs/>
          <w:sz w:val="24"/>
          <w:szCs w:val="24"/>
        </w:rPr>
      </w:pPr>
      <w:r>
        <w:rPr>
          <w:rFonts w:ascii="Times New Roman" w:hAnsi="Times New Roman" w:cs="Times New Roman"/>
          <w:b/>
          <w:bCs/>
          <w:sz w:val="24"/>
          <w:szCs w:val="24"/>
        </w:rPr>
        <w:pict w14:anchorId="0A89AA66">
          <v:rect id="_x0000_i1025" style="width:0;height:1.5pt" o:hralign="center" o:hrstd="t" o:hr="t" fillcolor="#a0a0a0" stroked="f"/>
        </w:pict>
      </w:r>
    </w:p>
    <w:p w14:paraId="284F0A9A"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PART 1: EXECUTIVE SUMMARY</w:t>
      </w:r>
    </w:p>
    <w:p w14:paraId="7B568F68"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 xml:space="preserve">The United Kingdom is at a defining crossroads in its domestic air quality strategy. The 2026 Defra Consultation proposes a sweeping reduction in allowable smoke emissions for new solid fuel stoves, dropping the limit from the current 5 g/h to 1 g/h (plus 0.1g per 0.3 kW of output). While this represents a stringent numerical target, an exhaustive review of UK British Standards (BS 3841, BS EN 15250, BS EN 15544), global empirical data (US EPA, Lopez Labs), and European frameworks (Austrian 15a B-VG, German 1. </w:t>
      </w:r>
      <w:proofErr w:type="spellStart"/>
      <w:r w:rsidRPr="00C76D6B">
        <w:rPr>
          <w:rFonts w:ascii="Times New Roman" w:hAnsi="Times New Roman" w:cs="Times New Roman"/>
          <w:b/>
          <w:bCs/>
          <w:sz w:val="24"/>
          <w:szCs w:val="24"/>
        </w:rPr>
        <w:t>BImSchV</w:t>
      </w:r>
      <w:proofErr w:type="spellEnd"/>
      <w:r w:rsidRPr="00C76D6B">
        <w:rPr>
          <w:rFonts w:ascii="Times New Roman" w:hAnsi="Times New Roman" w:cs="Times New Roman"/>
          <w:b/>
          <w:bCs/>
          <w:sz w:val="24"/>
          <w:szCs w:val="24"/>
        </w:rPr>
        <w:t>) reveals a critical systemic flaw: the UK relies on an antiquated "mass-rate" methodology that inadvertently outlaws the cleanest biomass heating technology in existence—the high-mass Masonry Heater (MH).</w:t>
      </w:r>
    </w:p>
    <w:p w14:paraId="42C88457"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 xml:space="preserve">This 10-part dossier provides a rigorous, academically validated comparison of international testing regimes. It demonstrates that not all masonry heaters are identical—ranging from the Swedish </w:t>
      </w:r>
      <w:proofErr w:type="spellStart"/>
      <w:r w:rsidRPr="00C76D6B">
        <w:rPr>
          <w:rFonts w:ascii="Times New Roman" w:hAnsi="Times New Roman" w:cs="Times New Roman"/>
          <w:b/>
          <w:bCs/>
          <w:sz w:val="24"/>
          <w:szCs w:val="24"/>
        </w:rPr>
        <w:t>Kakelugn</w:t>
      </w:r>
      <w:proofErr w:type="spellEnd"/>
      <w:r w:rsidRPr="00C76D6B">
        <w:rPr>
          <w:rFonts w:ascii="Times New Roman" w:hAnsi="Times New Roman" w:cs="Times New Roman"/>
          <w:b/>
          <w:bCs/>
          <w:sz w:val="24"/>
          <w:szCs w:val="24"/>
        </w:rPr>
        <w:t xml:space="preserve"> to the American Contraflow, the German </w:t>
      </w:r>
      <w:proofErr w:type="spellStart"/>
      <w:r w:rsidRPr="00C76D6B">
        <w:rPr>
          <w:rFonts w:ascii="Times New Roman" w:hAnsi="Times New Roman" w:cs="Times New Roman"/>
          <w:b/>
          <w:bCs/>
          <w:sz w:val="24"/>
          <w:szCs w:val="24"/>
        </w:rPr>
        <w:t>Grundofen</w:t>
      </w:r>
      <w:proofErr w:type="spellEnd"/>
      <w:r w:rsidRPr="00C76D6B">
        <w:rPr>
          <w:rFonts w:ascii="Times New Roman" w:hAnsi="Times New Roman" w:cs="Times New Roman"/>
          <w:b/>
          <w:bCs/>
          <w:sz w:val="24"/>
          <w:szCs w:val="24"/>
        </w:rPr>
        <w:t xml:space="preserve">, and the aerodynamically advanced Austrian </w:t>
      </w:r>
      <w:proofErr w:type="spellStart"/>
      <w:r w:rsidRPr="00C76D6B">
        <w:rPr>
          <w:rFonts w:ascii="Times New Roman" w:hAnsi="Times New Roman" w:cs="Times New Roman"/>
          <w:b/>
          <w:bCs/>
          <w:sz w:val="24"/>
          <w:szCs w:val="24"/>
        </w:rPr>
        <w:t>UmweltPlus</w:t>
      </w:r>
      <w:proofErr w:type="spellEnd"/>
      <w:r w:rsidRPr="00C76D6B">
        <w:rPr>
          <w:rFonts w:ascii="Times New Roman" w:hAnsi="Times New Roman" w:cs="Times New Roman"/>
          <w:b/>
          <w:bCs/>
          <w:sz w:val="24"/>
          <w:szCs w:val="24"/>
        </w:rPr>
        <w:t xml:space="preserve"> bio-combustion firebox. Despite their mechanical differences, all these systems share a common thermal principle: high-temperature batch combustion followed by prolonged, zero-emission radiant heat release.</w:t>
      </w:r>
    </w:p>
    <w:p w14:paraId="2189C550"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The evidence proves that applying a continuous-burn metric (grams per hour) to a batch-burn thermal battery is scientifically invalid. To meet its Net Zero and PM2.5 abatement targets, Defra must adopt an energy-normalized metric (mg/MJ) and recognise calculation-based certification (BS EN 15544). This dossier outlines the exact policy roadmap to achieve this, at zero cost to the UK Government.</w:t>
      </w:r>
    </w:p>
    <w:p w14:paraId="3D636162" w14:textId="77777777" w:rsidR="00C76D6B" w:rsidRPr="00C76D6B" w:rsidRDefault="00000000" w:rsidP="00C76D6B">
      <w:pPr>
        <w:rPr>
          <w:rFonts w:ascii="Times New Roman" w:hAnsi="Times New Roman" w:cs="Times New Roman"/>
          <w:b/>
          <w:bCs/>
          <w:sz w:val="24"/>
          <w:szCs w:val="24"/>
        </w:rPr>
      </w:pPr>
      <w:r>
        <w:rPr>
          <w:rFonts w:ascii="Times New Roman" w:hAnsi="Times New Roman" w:cs="Times New Roman"/>
          <w:b/>
          <w:bCs/>
          <w:sz w:val="24"/>
          <w:szCs w:val="24"/>
        </w:rPr>
        <w:pict w14:anchorId="5E5AC69F">
          <v:rect id="_x0000_i1026" style="width:0;height:1.5pt" o:hralign="center" o:hrstd="t" o:hr="t" fillcolor="#a0a0a0" stroked="f"/>
        </w:pict>
      </w:r>
    </w:p>
    <w:p w14:paraId="289BC5D8"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PART 2: THE REGULATORY ANOMALY AND THE "MEASUREMENT GAP"</w:t>
      </w:r>
    </w:p>
    <w:p w14:paraId="7B01AFC1"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2.1. The UK Legacy: Mass-Rate Measurement (g/h)</w:t>
      </w:r>
    </w:p>
    <w:p w14:paraId="0AC0797A"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The UK’s regulatory framework for domestic appliances is rooted in the Clean Air Act 1956 and operationalized via BS 3841-1:1994 and BS 3841-2:1994 (Determination of smoke emission rate).</w:t>
      </w:r>
    </w:p>
    <w:p w14:paraId="1500E243" w14:textId="77777777" w:rsidR="00C76D6B" w:rsidRPr="00C76D6B" w:rsidRDefault="00C76D6B" w:rsidP="00C76D6B">
      <w:pPr>
        <w:numPr>
          <w:ilvl w:val="0"/>
          <w:numId w:val="26"/>
        </w:numPr>
        <w:rPr>
          <w:rFonts w:ascii="Times New Roman" w:hAnsi="Times New Roman" w:cs="Times New Roman"/>
          <w:b/>
          <w:bCs/>
          <w:sz w:val="24"/>
          <w:szCs w:val="24"/>
        </w:rPr>
      </w:pPr>
      <w:r w:rsidRPr="00C76D6B">
        <w:rPr>
          <w:rFonts w:ascii="Times New Roman" w:hAnsi="Times New Roman" w:cs="Times New Roman"/>
          <w:b/>
          <w:bCs/>
          <w:sz w:val="24"/>
          <w:szCs w:val="24"/>
        </w:rPr>
        <w:lastRenderedPageBreak/>
        <w:t>The Methodology: The standard assesses appliances by measuring the mass of smoke over time (grams per hour) using an electrostatic precipitator or dilution tunnel. The legal threshold for exemption is whether the appliance operates without producing a "substantial quantity of smoke."</w:t>
      </w:r>
    </w:p>
    <w:p w14:paraId="5DF4ECDE" w14:textId="77777777" w:rsidR="00C76D6B" w:rsidRPr="00C76D6B" w:rsidRDefault="00C76D6B" w:rsidP="00C76D6B">
      <w:pPr>
        <w:numPr>
          <w:ilvl w:val="0"/>
          <w:numId w:val="26"/>
        </w:numPr>
        <w:rPr>
          <w:rFonts w:ascii="Times New Roman" w:hAnsi="Times New Roman" w:cs="Times New Roman"/>
          <w:b/>
          <w:bCs/>
          <w:sz w:val="24"/>
          <w:szCs w:val="24"/>
        </w:rPr>
      </w:pPr>
      <w:r w:rsidRPr="00C76D6B">
        <w:rPr>
          <w:rFonts w:ascii="Times New Roman" w:hAnsi="Times New Roman" w:cs="Times New Roman"/>
          <w:b/>
          <w:bCs/>
          <w:sz w:val="24"/>
          <w:szCs w:val="24"/>
        </w:rPr>
        <w:t>The Penalty on Clean Tech: Masonry heaters operate via "batch combustion." A large load of wood (e.g., 15–25 kg) is burned at maximum turbulence and temperature (up to 900°C) over 1.5 to 2 hours to charge a massive masonry thermal core. During this intense burn, the instantaneous g/h rate appears high (e.g., 11.8 g/h). However, the appliance then radiates heat for 12–24 hours with zero further emissions.</w:t>
      </w:r>
    </w:p>
    <w:p w14:paraId="182FFA43" w14:textId="77777777" w:rsidR="00C76D6B" w:rsidRPr="00C76D6B" w:rsidRDefault="00C76D6B" w:rsidP="00C76D6B">
      <w:pPr>
        <w:numPr>
          <w:ilvl w:val="0"/>
          <w:numId w:val="26"/>
        </w:numPr>
        <w:rPr>
          <w:rFonts w:ascii="Times New Roman" w:hAnsi="Times New Roman" w:cs="Times New Roman"/>
          <w:b/>
          <w:bCs/>
          <w:sz w:val="24"/>
          <w:szCs w:val="24"/>
        </w:rPr>
      </w:pPr>
      <w:r w:rsidRPr="00C76D6B">
        <w:rPr>
          <w:rFonts w:ascii="Times New Roman" w:hAnsi="Times New Roman" w:cs="Times New Roman"/>
          <w:b/>
          <w:bCs/>
          <w:sz w:val="24"/>
          <w:szCs w:val="24"/>
        </w:rPr>
        <w:t xml:space="preserve">The Reality: Averaged over 24 hours, the MH emits roughly ~0.98 g/h. Conversely, a "Defra-exempt" metal stove that is continuously damped down can emit over 14 g/h in real-world </w:t>
      </w:r>
      <w:proofErr w:type="spellStart"/>
      <w:r w:rsidRPr="00C76D6B">
        <w:rPr>
          <w:rFonts w:ascii="Times New Roman" w:hAnsi="Times New Roman" w:cs="Times New Roman"/>
          <w:b/>
          <w:bCs/>
          <w:sz w:val="24"/>
          <w:szCs w:val="24"/>
        </w:rPr>
        <w:t>smoldering</w:t>
      </w:r>
      <w:proofErr w:type="spellEnd"/>
      <w:r w:rsidRPr="00C76D6B">
        <w:rPr>
          <w:rFonts w:ascii="Times New Roman" w:hAnsi="Times New Roman" w:cs="Times New Roman"/>
          <w:b/>
          <w:bCs/>
          <w:sz w:val="24"/>
          <w:szCs w:val="24"/>
        </w:rPr>
        <w:t xml:space="preserve"> conditions (Tiegs, 1994; Alaska CCHRC Study, 2009).</w:t>
      </w:r>
    </w:p>
    <w:p w14:paraId="03A08840"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2.2. The European Best Practice: Energy-Normalized Units (mg/MJ)</w:t>
      </w:r>
    </w:p>
    <w:p w14:paraId="4097C3A9"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In stark contrast, the Austrian 15a B-VG standard evaluates emissions relative to energy output (milligrams per megajoule).</w:t>
      </w:r>
    </w:p>
    <w:p w14:paraId="1939FE04" w14:textId="77777777" w:rsidR="00C76D6B" w:rsidRPr="00C76D6B" w:rsidRDefault="00C76D6B" w:rsidP="00C76D6B">
      <w:pPr>
        <w:numPr>
          <w:ilvl w:val="0"/>
          <w:numId w:val="27"/>
        </w:numPr>
        <w:rPr>
          <w:rFonts w:ascii="Times New Roman" w:hAnsi="Times New Roman" w:cs="Times New Roman"/>
          <w:b/>
          <w:bCs/>
          <w:sz w:val="24"/>
          <w:szCs w:val="24"/>
        </w:rPr>
      </w:pPr>
      <w:r w:rsidRPr="00C76D6B">
        <w:rPr>
          <w:rFonts w:ascii="Times New Roman" w:hAnsi="Times New Roman" w:cs="Times New Roman"/>
          <w:b/>
          <w:bCs/>
          <w:sz w:val="24"/>
          <w:szCs w:val="24"/>
        </w:rPr>
        <w:t xml:space="preserve">The Benefit: By measuring mg/MJ, the regulation demands both clean combustion </w:t>
      </w:r>
      <w:r w:rsidRPr="00C76D6B">
        <w:rPr>
          <w:rFonts w:ascii="Times New Roman" w:hAnsi="Times New Roman" w:cs="Times New Roman"/>
          <w:b/>
          <w:bCs/>
          <w:i/>
          <w:iCs/>
          <w:sz w:val="24"/>
          <w:szCs w:val="24"/>
        </w:rPr>
        <w:t>and</w:t>
      </w:r>
      <w:r w:rsidRPr="00C76D6B">
        <w:rPr>
          <w:rFonts w:ascii="Times New Roman" w:hAnsi="Times New Roman" w:cs="Times New Roman"/>
          <w:b/>
          <w:bCs/>
          <w:sz w:val="24"/>
          <w:szCs w:val="24"/>
        </w:rPr>
        <w:t xml:space="preserve"> high efficiency. An appliance only passes if it delivers maximum heat with minimum pollution. A highly efficient stove that extracts more heat per kilogram of wood is mathematically rewarded.</w:t>
      </w:r>
    </w:p>
    <w:p w14:paraId="60D2AE33" w14:textId="77777777" w:rsidR="00C76D6B" w:rsidRPr="00C76D6B" w:rsidRDefault="00C76D6B" w:rsidP="00C76D6B">
      <w:pPr>
        <w:numPr>
          <w:ilvl w:val="0"/>
          <w:numId w:val="27"/>
        </w:numPr>
        <w:rPr>
          <w:rFonts w:ascii="Times New Roman" w:hAnsi="Times New Roman" w:cs="Times New Roman"/>
          <w:b/>
          <w:bCs/>
          <w:sz w:val="24"/>
          <w:szCs w:val="24"/>
        </w:rPr>
      </w:pPr>
      <w:r w:rsidRPr="00C76D6B">
        <w:rPr>
          <w:rFonts w:ascii="Times New Roman" w:hAnsi="Times New Roman" w:cs="Times New Roman"/>
          <w:b/>
          <w:bCs/>
          <w:sz w:val="24"/>
          <w:szCs w:val="24"/>
        </w:rPr>
        <w:t xml:space="preserve">The German Perspective: The German position paper from </w:t>
      </w:r>
      <w:r w:rsidRPr="00C76D6B">
        <w:rPr>
          <w:rFonts w:ascii="Times New Roman" w:hAnsi="Times New Roman" w:cs="Times New Roman"/>
          <w:b/>
          <w:bCs/>
          <w:i/>
          <w:iCs/>
          <w:sz w:val="24"/>
          <w:szCs w:val="24"/>
        </w:rPr>
        <w:t xml:space="preserve">850° </w:t>
      </w:r>
      <w:proofErr w:type="spellStart"/>
      <w:r w:rsidRPr="00C76D6B">
        <w:rPr>
          <w:rFonts w:ascii="Times New Roman" w:hAnsi="Times New Roman" w:cs="Times New Roman"/>
          <w:b/>
          <w:bCs/>
          <w:i/>
          <w:iCs/>
          <w:sz w:val="24"/>
          <w:szCs w:val="24"/>
        </w:rPr>
        <w:t>Handwerklicher</w:t>
      </w:r>
      <w:proofErr w:type="spellEnd"/>
      <w:r w:rsidRPr="00C76D6B">
        <w:rPr>
          <w:rFonts w:ascii="Times New Roman" w:hAnsi="Times New Roman" w:cs="Times New Roman"/>
          <w:b/>
          <w:bCs/>
          <w:i/>
          <w:iCs/>
          <w:sz w:val="24"/>
          <w:szCs w:val="24"/>
        </w:rPr>
        <w:t xml:space="preserve"> </w:t>
      </w:r>
      <w:proofErr w:type="spellStart"/>
      <w:r w:rsidRPr="00C76D6B">
        <w:rPr>
          <w:rFonts w:ascii="Times New Roman" w:hAnsi="Times New Roman" w:cs="Times New Roman"/>
          <w:b/>
          <w:bCs/>
          <w:i/>
          <w:iCs/>
          <w:sz w:val="24"/>
          <w:szCs w:val="24"/>
        </w:rPr>
        <w:t>Grundofen</w:t>
      </w:r>
      <w:proofErr w:type="spellEnd"/>
      <w:r w:rsidRPr="00C76D6B">
        <w:rPr>
          <w:rFonts w:ascii="Times New Roman" w:hAnsi="Times New Roman" w:cs="Times New Roman"/>
          <w:b/>
          <w:bCs/>
          <w:i/>
          <w:iCs/>
          <w:sz w:val="24"/>
          <w:szCs w:val="24"/>
        </w:rPr>
        <w:t xml:space="preserve"> </w:t>
      </w:r>
      <w:proofErr w:type="spellStart"/>
      <w:r w:rsidRPr="00C76D6B">
        <w:rPr>
          <w:rFonts w:ascii="Times New Roman" w:hAnsi="Times New Roman" w:cs="Times New Roman"/>
          <w:b/>
          <w:bCs/>
          <w:i/>
          <w:iCs/>
          <w:sz w:val="24"/>
          <w:szCs w:val="24"/>
        </w:rPr>
        <w:t>e.V.</w:t>
      </w:r>
      <w:proofErr w:type="spellEnd"/>
      <w:r w:rsidRPr="00C76D6B">
        <w:rPr>
          <w:rFonts w:ascii="Times New Roman" w:hAnsi="Times New Roman" w:cs="Times New Roman"/>
          <w:b/>
          <w:bCs/>
          <w:sz w:val="24"/>
          <w:szCs w:val="24"/>
        </w:rPr>
        <w:t xml:space="preserve"> highlights that standard type-testing (such as the 2nd stage of the 1. </w:t>
      </w:r>
      <w:proofErr w:type="spellStart"/>
      <w:r w:rsidRPr="00C76D6B">
        <w:rPr>
          <w:rFonts w:ascii="Times New Roman" w:hAnsi="Times New Roman" w:cs="Times New Roman"/>
          <w:b/>
          <w:bCs/>
          <w:sz w:val="24"/>
          <w:szCs w:val="24"/>
        </w:rPr>
        <w:t>BImSchV</w:t>
      </w:r>
      <w:proofErr w:type="spellEnd"/>
      <w:r w:rsidRPr="00C76D6B">
        <w:rPr>
          <w:rFonts w:ascii="Times New Roman" w:hAnsi="Times New Roman" w:cs="Times New Roman"/>
          <w:b/>
          <w:bCs/>
          <w:sz w:val="24"/>
          <w:szCs w:val="24"/>
        </w:rPr>
        <w:t>) is often conducted under "perfect laboratory conditions" which simple metal stoves (</w:t>
      </w:r>
      <w:proofErr w:type="spellStart"/>
      <w:r w:rsidRPr="00C76D6B">
        <w:rPr>
          <w:rFonts w:ascii="Times New Roman" w:hAnsi="Times New Roman" w:cs="Times New Roman"/>
          <w:b/>
          <w:bCs/>
          <w:sz w:val="24"/>
          <w:szCs w:val="24"/>
        </w:rPr>
        <w:t>Blechöfen</w:t>
      </w:r>
      <w:proofErr w:type="spellEnd"/>
      <w:r w:rsidRPr="00C76D6B">
        <w:rPr>
          <w:rFonts w:ascii="Times New Roman" w:hAnsi="Times New Roman" w:cs="Times New Roman"/>
          <w:b/>
          <w:bCs/>
          <w:sz w:val="24"/>
          <w:szCs w:val="24"/>
        </w:rPr>
        <w:t>) cannot replicate in homes. Energy-normalized, mass-based appliances, however, force the user into an efficient batch-burn cycle, ensuring lab results match real-world operation.</w:t>
      </w:r>
    </w:p>
    <w:p w14:paraId="0D71D710" w14:textId="77777777" w:rsidR="00C76D6B" w:rsidRPr="00C76D6B" w:rsidRDefault="00000000" w:rsidP="00C76D6B">
      <w:pPr>
        <w:rPr>
          <w:rFonts w:ascii="Times New Roman" w:hAnsi="Times New Roman" w:cs="Times New Roman"/>
          <w:b/>
          <w:bCs/>
          <w:sz w:val="24"/>
          <w:szCs w:val="24"/>
        </w:rPr>
      </w:pPr>
      <w:r>
        <w:rPr>
          <w:rFonts w:ascii="Times New Roman" w:hAnsi="Times New Roman" w:cs="Times New Roman"/>
          <w:b/>
          <w:bCs/>
          <w:sz w:val="24"/>
          <w:szCs w:val="24"/>
        </w:rPr>
        <w:pict w14:anchorId="5B82AB1C">
          <v:rect id="_x0000_i1027" style="width:0;height:1.5pt" o:hralign="center" o:hrstd="t" o:hr="t" fillcolor="#a0a0a0" stroked="f"/>
        </w:pict>
      </w:r>
    </w:p>
    <w:p w14:paraId="63542FF1"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PART 3: TYPOLOGY OF MASONRY HEATERS (NOT A MONOLITH)</w:t>
      </w:r>
    </w:p>
    <w:p w14:paraId="2FC0140F"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A central error in historical regulation is treating all solid-fuel appliances—and even all masonry heaters—as identical. The technology varies vastly by region, materials, and combustion physics.</w:t>
      </w:r>
    </w:p>
    <w:p w14:paraId="76CE3F50"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 xml:space="preserve">3.1. The Swedish </w:t>
      </w:r>
      <w:proofErr w:type="spellStart"/>
      <w:r w:rsidRPr="00C76D6B">
        <w:rPr>
          <w:rFonts w:ascii="Times New Roman" w:hAnsi="Times New Roman" w:cs="Times New Roman"/>
          <w:b/>
          <w:bCs/>
          <w:sz w:val="24"/>
          <w:szCs w:val="24"/>
        </w:rPr>
        <w:t>Kakelugn</w:t>
      </w:r>
      <w:proofErr w:type="spellEnd"/>
      <w:r w:rsidRPr="00C76D6B">
        <w:rPr>
          <w:rFonts w:ascii="Times New Roman" w:hAnsi="Times New Roman" w:cs="Times New Roman"/>
          <w:b/>
          <w:bCs/>
          <w:sz w:val="24"/>
          <w:szCs w:val="24"/>
        </w:rPr>
        <w:t xml:space="preserve"> (The 5-Run System)</w:t>
      </w:r>
    </w:p>
    <w:p w14:paraId="615FE549" w14:textId="77777777" w:rsidR="00C76D6B" w:rsidRPr="00C76D6B" w:rsidRDefault="00C76D6B" w:rsidP="00C76D6B">
      <w:pPr>
        <w:numPr>
          <w:ilvl w:val="0"/>
          <w:numId w:val="28"/>
        </w:numPr>
        <w:rPr>
          <w:rFonts w:ascii="Times New Roman" w:hAnsi="Times New Roman" w:cs="Times New Roman"/>
          <w:b/>
          <w:bCs/>
          <w:sz w:val="24"/>
          <w:szCs w:val="24"/>
        </w:rPr>
      </w:pPr>
      <w:r w:rsidRPr="00C76D6B">
        <w:rPr>
          <w:rFonts w:ascii="Times New Roman" w:hAnsi="Times New Roman" w:cs="Times New Roman"/>
          <w:b/>
          <w:bCs/>
          <w:sz w:val="24"/>
          <w:szCs w:val="24"/>
        </w:rPr>
        <w:t xml:space="preserve">Historical Context: The </w:t>
      </w:r>
      <w:proofErr w:type="spellStart"/>
      <w:r w:rsidRPr="00C76D6B">
        <w:rPr>
          <w:rFonts w:ascii="Times New Roman" w:hAnsi="Times New Roman" w:cs="Times New Roman"/>
          <w:b/>
          <w:bCs/>
          <w:i/>
          <w:iCs/>
          <w:sz w:val="24"/>
          <w:szCs w:val="24"/>
        </w:rPr>
        <w:t>Kakelugn</w:t>
      </w:r>
      <w:proofErr w:type="spellEnd"/>
      <w:r w:rsidRPr="00C76D6B">
        <w:rPr>
          <w:rFonts w:ascii="Times New Roman" w:hAnsi="Times New Roman" w:cs="Times New Roman"/>
          <w:b/>
          <w:bCs/>
          <w:sz w:val="24"/>
          <w:szCs w:val="24"/>
        </w:rPr>
        <w:t xml:space="preserve"> </w:t>
      </w:r>
      <w:proofErr w:type="gramStart"/>
      <w:r w:rsidRPr="00C76D6B">
        <w:rPr>
          <w:rFonts w:ascii="Times New Roman" w:hAnsi="Times New Roman" w:cs="Times New Roman"/>
          <w:b/>
          <w:bCs/>
          <w:sz w:val="24"/>
          <w:szCs w:val="24"/>
        </w:rPr>
        <w:t>dates back to</w:t>
      </w:r>
      <w:proofErr w:type="gramEnd"/>
      <w:r w:rsidRPr="00C76D6B">
        <w:rPr>
          <w:rFonts w:ascii="Times New Roman" w:hAnsi="Times New Roman" w:cs="Times New Roman"/>
          <w:b/>
          <w:bCs/>
          <w:sz w:val="24"/>
          <w:szCs w:val="24"/>
        </w:rPr>
        <w:t xml:space="preserve"> the 18th century, designed in response to Scandinavian wood shortages. Ornate examples of these stove tiles (</w:t>
      </w:r>
      <w:proofErr w:type="spellStart"/>
      <w:r w:rsidRPr="00C76D6B">
        <w:rPr>
          <w:rFonts w:ascii="Times New Roman" w:hAnsi="Times New Roman" w:cs="Times New Roman"/>
          <w:b/>
          <w:bCs/>
          <w:i/>
          <w:iCs/>
          <w:sz w:val="24"/>
          <w:szCs w:val="24"/>
        </w:rPr>
        <w:t>Kacheln</w:t>
      </w:r>
      <w:proofErr w:type="spellEnd"/>
      <w:r w:rsidRPr="00C76D6B">
        <w:rPr>
          <w:rFonts w:ascii="Times New Roman" w:hAnsi="Times New Roman" w:cs="Times New Roman"/>
          <w:b/>
          <w:bCs/>
          <w:sz w:val="24"/>
          <w:szCs w:val="24"/>
        </w:rPr>
        <w:t>) are preserved in global institutions like the Victoria and Albert Museum (e.g., V&amp;A Object O148568), demonstrating their centuries-old legacy as efficient, heat-storing architecture.</w:t>
      </w:r>
    </w:p>
    <w:p w14:paraId="36EBF9DC" w14:textId="77777777" w:rsidR="00C76D6B" w:rsidRPr="00C76D6B" w:rsidRDefault="00C76D6B" w:rsidP="00C76D6B">
      <w:pPr>
        <w:numPr>
          <w:ilvl w:val="0"/>
          <w:numId w:val="28"/>
        </w:numPr>
        <w:rPr>
          <w:rFonts w:ascii="Times New Roman" w:hAnsi="Times New Roman" w:cs="Times New Roman"/>
          <w:b/>
          <w:bCs/>
          <w:sz w:val="24"/>
          <w:szCs w:val="24"/>
        </w:rPr>
      </w:pPr>
      <w:r w:rsidRPr="00C76D6B">
        <w:rPr>
          <w:rFonts w:ascii="Times New Roman" w:hAnsi="Times New Roman" w:cs="Times New Roman"/>
          <w:b/>
          <w:bCs/>
          <w:sz w:val="24"/>
          <w:szCs w:val="24"/>
        </w:rPr>
        <w:t xml:space="preserve">Combustion Profile: Unlike central European stoves, the Swedish </w:t>
      </w:r>
      <w:proofErr w:type="spellStart"/>
      <w:r w:rsidRPr="00C76D6B">
        <w:rPr>
          <w:rFonts w:ascii="Times New Roman" w:hAnsi="Times New Roman" w:cs="Times New Roman"/>
          <w:b/>
          <w:bCs/>
          <w:sz w:val="24"/>
          <w:szCs w:val="24"/>
        </w:rPr>
        <w:t>Kakelugn</w:t>
      </w:r>
      <w:proofErr w:type="spellEnd"/>
      <w:r w:rsidRPr="00C76D6B">
        <w:rPr>
          <w:rFonts w:ascii="Times New Roman" w:hAnsi="Times New Roman" w:cs="Times New Roman"/>
          <w:b/>
          <w:bCs/>
          <w:sz w:val="24"/>
          <w:szCs w:val="24"/>
        </w:rPr>
        <w:t xml:space="preserve"> is typically fired using a series of smaller fuel loads rather than one massive batch.</w:t>
      </w:r>
    </w:p>
    <w:p w14:paraId="15DD4CAF" w14:textId="77777777" w:rsidR="00C76D6B" w:rsidRPr="00C76D6B" w:rsidRDefault="00C76D6B" w:rsidP="00C76D6B">
      <w:pPr>
        <w:numPr>
          <w:ilvl w:val="0"/>
          <w:numId w:val="28"/>
        </w:numPr>
        <w:rPr>
          <w:rFonts w:ascii="Times New Roman" w:hAnsi="Times New Roman" w:cs="Times New Roman"/>
          <w:b/>
          <w:bCs/>
          <w:sz w:val="24"/>
          <w:szCs w:val="24"/>
        </w:rPr>
      </w:pPr>
      <w:r w:rsidRPr="00C76D6B">
        <w:rPr>
          <w:rFonts w:ascii="Times New Roman" w:hAnsi="Times New Roman" w:cs="Times New Roman"/>
          <w:b/>
          <w:bCs/>
          <w:sz w:val="24"/>
          <w:szCs w:val="24"/>
        </w:rPr>
        <w:lastRenderedPageBreak/>
        <w:t>Internal Dynamics: It utilizes a vertical "5-run" (five-channel) system. Hot exhaust gases are forced up and down through heavy masonry channels, stripping the heat before the gas exits the chimney.</w:t>
      </w:r>
    </w:p>
    <w:p w14:paraId="65D38E4B" w14:textId="77777777" w:rsidR="00C76D6B" w:rsidRPr="00C76D6B" w:rsidRDefault="00C76D6B" w:rsidP="00C76D6B">
      <w:pPr>
        <w:numPr>
          <w:ilvl w:val="0"/>
          <w:numId w:val="28"/>
        </w:numPr>
        <w:rPr>
          <w:rFonts w:ascii="Times New Roman" w:hAnsi="Times New Roman" w:cs="Times New Roman"/>
          <w:b/>
          <w:bCs/>
          <w:sz w:val="24"/>
          <w:szCs w:val="24"/>
        </w:rPr>
      </w:pPr>
      <w:r w:rsidRPr="00C76D6B">
        <w:rPr>
          <w:rFonts w:ascii="Times New Roman" w:hAnsi="Times New Roman" w:cs="Times New Roman"/>
          <w:b/>
          <w:bCs/>
          <w:sz w:val="24"/>
          <w:szCs w:val="24"/>
        </w:rPr>
        <w:t xml:space="preserve">UK Defra Precedent: Defra has already technically validated this system. The </w:t>
      </w:r>
      <w:r w:rsidRPr="00C76D6B">
        <w:rPr>
          <w:rFonts w:ascii="Times New Roman" w:hAnsi="Times New Roman" w:cs="Times New Roman"/>
          <w:b/>
          <w:bCs/>
          <w:i/>
          <w:iCs/>
          <w:sz w:val="24"/>
          <w:szCs w:val="24"/>
        </w:rPr>
        <w:t>Jansen Design stove (</w:t>
      </w:r>
      <w:proofErr w:type="spellStart"/>
      <w:r w:rsidRPr="00C76D6B">
        <w:rPr>
          <w:rFonts w:ascii="Times New Roman" w:hAnsi="Times New Roman" w:cs="Times New Roman"/>
          <w:b/>
          <w:bCs/>
          <w:i/>
          <w:iCs/>
          <w:sz w:val="24"/>
          <w:szCs w:val="24"/>
        </w:rPr>
        <w:t>Kakkelovnsmakeriet</w:t>
      </w:r>
      <w:proofErr w:type="spellEnd"/>
      <w:r w:rsidRPr="00C76D6B">
        <w:rPr>
          <w:rFonts w:ascii="Times New Roman" w:hAnsi="Times New Roman" w:cs="Times New Roman"/>
          <w:b/>
          <w:bCs/>
          <w:i/>
          <w:iCs/>
          <w:sz w:val="24"/>
          <w:szCs w:val="24"/>
        </w:rPr>
        <w:t xml:space="preserve"> / Camina)</w:t>
      </w:r>
      <w:r w:rsidRPr="00C76D6B">
        <w:rPr>
          <w:rFonts w:ascii="Times New Roman" w:hAnsi="Times New Roman" w:cs="Times New Roman"/>
          <w:b/>
          <w:bCs/>
          <w:sz w:val="24"/>
          <w:szCs w:val="24"/>
        </w:rPr>
        <w:t>, which uses the Swedish 5-channel system, holds Defra Exemption No. 554 under the Clean Air Act.</w:t>
      </w:r>
    </w:p>
    <w:p w14:paraId="0006C059"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3.2. The American Masonry Heater (Contraflow &amp; Bell Systems)</w:t>
      </w:r>
    </w:p>
    <w:p w14:paraId="1E0DB56E" w14:textId="77777777" w:rsidR="00C76D6B" w:rsidRPr="00C76D6B" w:rsidRDefault="00C76D6B" w:rsidP="00C76D6B">
      <w:pPr>
        <w:numPr>
          <w:ilvl w:val="0"/>
          <w:numId w:val="29"/>
        </w:numPr>
        <w:rPr>
          <w:rFonts w:ascii="Times New Roman" w:hAnsi="Times New Roman" w:cs="Times New Roman"/>
          <w:b/>
          <w:bCs/>
          <w:sz w:val="24"/>
          <w:szCs w:val="24"/>
        </w:rPr>
      </w:pPr>
      <w:r w:rsidRPr="00C76D6B">
        <w:rPr>
          <w:rFonts w:ascii="Times New Roman" w:hAnsi="Times New Roman" w:cs="Times New Roman"/>
          <w:b/>
          <w:bCs/>
          <w:sz w:val="24"/>
          <w:szCs w:val="24"/>
        </w:rPr>
        <w:t>Design &amp; Materials: The North American tradition (championed by the Masonry Heater Association, MHA) heavily features the "Contraflow" design (developed in Finland) and "Double Bell" systems. These are typically built with dense refractory firebrick cores and clad in soapstone, brick, or stone.</w:t>
      </w:r>
    </w:p>
    <w:p w14:paraId="0EF5FF0D" w14:textId="77777777" w:rsidR="00C76D6B" w:rsidRPr="00C76D6B" w:rsidRDefault="00C76D6B" w:rsidP="00C76D6B">
      <w:pPr>
        <w:numPr>
          <w:ilvl w:val="0"/>
          <w:numId w:val="29"/>
        </w:numPr>
        <w:rPr>
          <w:rFonts w:ascii="Times New Roman" w:hAnsi="Times New Roman" w:cs="Times New Roman"/>
          <w:b/>
          <w:bCs/>
          <w:sz w:val="24"/>
          <w:szCs w:val="24"/>
        </w:rPr>
      </w:pPr>
      <w:r w:rsidRPr="00C76D6B">
        <w:rPr>
          <w:rFonts w:ascii="Times New Roman" w:hAnsi="Times New Roman" w:cs="Times New Roman"/>
          <w:b/>
          <w:bCs/>
          <w:sz w:val="24"/>
          <w:szCs w:val="24"/>
        </w:rPr>
        <w:t xml:space="preserve">Calculation Principles: North American dimensioning differs from the Austrian model. Because contraflow channels rely on high-aspect-ratio downdrafts, American builders and researchers (like Lopez Labs) utilize empirical testing (g/kg metrics via </w:t>
      </w:r>
      <w:proofErr w:type="spellStart"/>
      <w:r w:rsidRPr="00C76D6B">
        <w:rPr>
          <w:rFonts w:ascii="Times New Roman" w:hAnsi="Times New Roman" w:cs="Times New Roman"/>
          <w:b/>
          <w:bCs/>
          <w:sz w:val="24"/>
          <w:szCs w:val="24"/>
        </w:rPr>
        <w:t>Condar</w:t>
      </w:r>
      <w:proofErr w:type="spellEnd"/>
      <w:r w:rsidRPr="00C76D6B">
        <w:rPr>
          <w:rFonts w:ascii="Times New Roman" w:hAnsi="Times New Roman" w:cs="Times New Roman"/>
          <w:b/>
          <w:bCs/>
          <w:sz w:val="24"/>
          <w:szCs w:val="24"/>
        </w:rPr>
        <w:t xml:space="preserve"> dilution tunnels) and are currently adapting the French AFPMA </w:t>
      </w:r>
      <w:r w:rsidRPr="00C76D6B">
        <w:rPr>
          <w:rFonts w:ascii="Times New Roman" w:hAnsi="Times New Roman" w:cs="Times New Roman"/>
          <w:b/>
          <w:bCs/>
          <w:i/>
          <w:iCs/>
          <w:sz w:val="24"/>
          <w:szCs w:val="24"/>
        </w:rPr>
        <w:t>FIRECALC</w:t>
      </w:r>
      <w:r w:rsidRPr="00C76D6B">
        <w:rPr>
          <w:rFonts w:ascii="Times New Roman" w:hAnsi="Times New Roman" w:cs="Times New Roman"/>
          <w:b/>
          <w:bCs/>
          <w:sz w:val="24"/>
          <w:szCs w:val="24"/>
        </w:rPr>
        <w:t xml:space="preserve"> software to account for specific buoyancy coefficients.</w:t>
      </w:r>
    </w:p>
    <w:p w14:paraId="0E465EC8" w14:textId="77777777" w:rsidR="00C76D6B" w:rsidRPr="00C76D6B" w:rsidRDefault="00C76D6B" w:rsidP="00C76D6B">
      <w:pPr>
        <w:numPr>
          <w:ilvl w:val="0"/>
          <w:numId w:val="29"/>
        </w:numPr>
        <w:rPr>
          <w:rFonts w:ascii="Times New Roman" w:hAnsi="Times New Roman" w:cs="Times New Roman"/>
          <w:b/>
          <w:bCs/>
          <w:sz w:val="24"/>
          <w:szCs w:val="24"/>
        </w:rPr>
      </w:pPr>
      <w:r w:rsidRPr="00C76D6B">
        <w:rPr>
          <w:rFonts w:ascii="Times New Roman" w:hAnsi="Times New Roman" w:cs="Times New Roman"/>
          <w:b/>
          <w:bCs/>
          <w:sz w:val="24"/>
          <w:szCs w:val="24"/>
        </w:rPr>
        <w:t>Emissions: Extensive Lopez Labs data (185+ test runs) proves a baseline emission factor of 0.97 g/kg under normal operating conditions.</w:t>
      </w:r>
    </w:p>
    <w:p w14:paraId="3CAED5F4"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 xml:space="preserve">3.3. The Austrian </w:t>
      </w:r>
      <w:proofErr w:type="spellStart"/>
      <w:r w:rsidRPr="00C76D6B">
        <w:rPr>
          <w:rFonts w:ascii="Times New Roman" w:hAnsi="Times New Roman" w:cs="Times New Roman"/>
          <w:b/>
          <w:bCs/>
          <w:sz w:val="24"/>
          <w:szCs w:val="24"/>
        </w:rPr>
        <w:t>UmweltPlus</w:t>
      </w:r>
      <w:proofErr w:type="spellEnd"/>
      <w:r w:rsidRPr="00C76D6B">
        <w:rPr>
          <w:rFonts w:ascii="Times New Roman" w:hAnsi="Times New Roman" w:cs="Times New Roman"/>
          <w:b/>
          <w:bCs/>
          <w:sz w:val="24"/>
          <w:szCs w:val="24"/>
        </w:rPr>
        <w:t xml:space="preserve"> Firebox (Bio-Combustion)</w:t>
      </w:r>
    </w:p>
    <w:p w14:paraId="1A52CD6E" w14:textId="77777777" w:rsidR="00C76D6B" w:rsidRPr="00C76D6B" w:rsidRDefault="00C76D6B" w:rsidP="00C76D6B">
      <w:pPr>
        <w:numPr>
          <w:ilvl w:val="0"/>
          <w:numId w:val="30"/>
        </w:numPr>
        <w:rPr>
          <w:rFonts w:ascii="Times New Roman" w:hAnsi="Times New Roman" w:cs="Times New Roman"/>
          <w:b/>
          <w:bCs/>
          <w:sz w:val="24"/>
          <w:szCs w:val="24"/>
        </w:rPr>
      </w:pPr>
      <w:r w:rsidRPr="00C76D6B">
        <w:rPr>
          <w:rFonts w:ascii="Times New Roman" w:hAnsi="Times New Roman" w:cs="Times New Roman"/>
          <w:b/>
          <w:bCs/>
          <w:sz w:val="24"/>
          <w:szCs w:val="24"/>
        </w:rPr>
        <w:t>Technological Pinnacle: Austria represents the gold standard of aerodynamic firebox engineering. The "</w:t>
      </w:r>
      <w:proofErr w:type="spellStart"/>
      <w:r w:rsidRPr="00C76D6B">
        <w:rPr>
          <w:rFonts w:ascii="Times New Roman" w:hAnsi="Times New Roman" w:cs="Times New Roman"/>
          <w:b/>
          <w:bCs/>
          <w:sz w:val="24"/>
          <w:szCs w:val="24"/>
        </w:rPr>
        <w:t>UmweltPlus</w:t>
      </w:r>
      <w:proofErr w:type="spellEnd"/>
      <w:r w:rsidRPr="00C76D6B">
        <w:rPr>
          <w:rFonts w:ascii="Times New Roman" w:hAnsi="Times New Roman" w:cs="Times New Roman"/>
          <w:b/>
          <w:bCs/>
          <w:sz w:val="24"/>
          <w:szCs w:val="24"/>
        </w:rPr>
        <w:t>" (Environment Plus) firebox was developed by the Austrian Kachelofen Association (KOV).</w:t>
      </w:r>
    </w:p>
    <w:p w14:paraId="759FBBFD" w14:textId="77777777" w:rsidR="00C76D6B" w:rsidRPr="00C76D6B" w:rsidRDefault="00C76D6B" w:rsidP="00C76D6B">
      <w:pPr>
        <w:numPr>
          <w:ilvl w:val="0"/>
          <w:numId w:val="30"/>
        </w:numPr>
        <w:rPr>
          <w:rFonts w:ascii="Times New Roman" w:hAnsi="Times New Roman" w:cs="Times New Roman"/>
          <w:b/>
          <w:bCs/>
          <w:sz w:val="24"/>
          <w:szCs w:val="24"/>
        </w:rPr>
      </w:pPr>
      <w:r w:rsidRPr="00C76D6B">
        <w:rPr>
          <w:rFonts w:ascii="Times New Roman" w:hAnsi="Times New Roman" w:cs="Times New Roman"/>
          <w:b/>
          <w:bCs/>
          <w:sz w:val="24"/>
          <w:szCs w:val="24"/>
        </w:rPr>
        <w:t>Performance: It utilizes a highly calculated "bio-combustion" chamber featuring precisely engineered secondary air geometries to maximize turbulence and mixing. It burns significantly cleaner than older American masonry heater designs.</w:t>
      </w:r>
    </w:p>
    <w:p w14:paraId="0BFBE09C" w14:textId="77777777" w:rsidR="00C76D6B" w:rsidRPr="00C76D6B" w:rsidRDefault="00C76D6B" w:rsidP="00C76D6B">
      <w:pPr>
        <w:numPr>
          <w:ilvl w:val="0"/>
          <w:numId w:val="30"/>
        </w:numPr>
        <w:rPr>
          <w:rFonts w:ascii="Times New Roman" w:hAnsi="Times New Roman" w:cs="Times New Roman"/>
          <w:b/>
          <w:bCs/>
          <w:sz w:val="24"/>
          <w:szCs w:val="24"/>
        </w:rPr>
      </w:pPr>
      <w:r w:rsidRPr="00C76D6B">
        <w:rPr>
          <w:rFonts w:ascii="Times New Roman" w:hAnsi="Times New Roman" w:cs="Times New Roman"/>
          <w:b/>
          <w:bCs/>
          <w:sz w:val="24"/>
          <w:szCs w:val="24"/>
        </w:rPr>
        <w:t>Certification: It meets the strict Austrian Ecolabel (UZ37) requirements, achieving near-perfect combustion efficiency.</w:t>
      </w:r>
    </w:p>
    <w:p w14:paraId="58E47259"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 xml:space="preserve">3.4. The German </w:t>
      </w:r>
      <w:proofErr w:type="spellStart"/>
      <w:r w:rsidRPr="00C76D6B">
        <w:rPr>
          <w:rFonts w:ascii="Times New Roman" w:hAnsi="Times New Roman" w:cs="Times New Roman"/>
          <w:b/>
          <w:bCs/>
          <w:sz w:val="24"/>
          <w:szCs w:val="24"/>
        </w:rPr>
        <w:t>Grundofen</w:t>
      </w:r>
      <w:proofErr w:type="spellEnd"/>
      <w:r w:rsidRPr="00C76D6B">
        <w:rPr>
          <w:rFonts w:ascii="Times New Roman" w:hAnsi="Times New Roman" w:cs="Times New Roman"/>
          <w:b/>
          <w:bCs/>
          <w:sz w:val="24"/>
          <w:szCs w:val="24"/>
        </w:rPr>
        <w:t xml:space="preserve"> (</w:t>
      </w:r>
      <w:proofErr w:type="spellStart"/>
      <w:r w:rsidRPr="00C76D6B">
        <w:rPr>
          <w:rFonts w:ascii="Times New Roman" w:hAnsi="Times New Roman" w:cs="Times New Roman"/>
          <w:b/>
          <w:bCs/>
          <w:sz w:val="24"/>
          <w:szCs w:val="24"/>
        </w:rPr>
        <w:t>Handwerklicher</w:t>
      </w:r>
      <w:proofErr w:type="spellEnd"/>
      <w:r w:rsidRPr="00C76D6B">
        <w:rPr>
          <w:rFonts w:ascii="Times New Roman" w:hAnsi="Times New Roman" w:cs="Times New Roman"/>
          <w:b/>
          <w:bCs/>
          <w:sz w:val="24"/>
          <w:szCs w:val="24"/>
        </w:rPr>
        <w:t xml:space="preserve"> </w:t>
      </w:r>
      <w:proofErr w:type="spellStart"/>
      <w:r w:rsidRPr="00C76D6B">
        <w:rPr>
          <w:rFonts w:ascii="Times New Roman" w:hAnsi="Times New Roman" w:cs="Times New Roman"/>
          <w:b/>
          <w:bCs/>
          <w:sz w:val="24"/>
          <w:szCs w:val="24"/>
        </w:rPr>
        <w:t>Grundofen</w:t>
      </w:r>
      <w:proofErr w:type="spellEnd"/>
      <w:r w:rsidRPr="00C76D6B">
        <w:rPr>
          <w:rFonts w:ascii="Times New Roman" w:hAnsi="Times New Roman" w:cs="Times New Roman"/>
          <w:b/>
          <w:bCs/>
          <w:sz w:val="24"/>
          <w:szCs w:val="24"/>
        </w:rPr>
        <w:t>)</w:t>
      </w:r>
    </w:p>
    <w:p w14:paraId="4F03AA94" w14:textId="77777777" w:rsidR="00C76D6B" w:rsidRPr="00C76D6B" w:rsidRDefault="00C76D6B" w:rsidP="00C76D6B">
      <w:pPr>
        <w:numPr>
          <w:ilvl w:val="0"/>
          <w:numId w:val="31"/>
        </w:numPr>
        <w:rPr>
          <w:rFonts w:ascii="Times New Roman" w:hAnsi="Times New Roman" w:cs="Times New Roman"/>
          <w:b/>
          <w:bCs/>
          <w:sz w:val="24"/>
          <w:szCs w:val="24"/>
        </w:rPr>
      </w:pPr>
      <w:r w:rsidRPr="00C76D6B">
        <w:rPr>
          <w:rFonts w:ascii="Times New Roman" w:hAnsi="Times New Roman" w:cs="Times New Roman"/>
          <w:b/>
          <w:bCs/>
          <w:sz w:val="24"/>
          <w:szCs w:val="24"/>
        </w:rPr>
        <w:t>Cultural Heritage: In June 2023, the traditional craftsmanship of the Kachelofen (</w:t>
      </w:r>
      <w:proofErr w:type="spellStart"/>
      <w:r w:rsidRPr="00C76D6B">
        <w:rPr>
          <w:rFonts w:ascii="Times New Roman" w:hAnsi="Times New Roman" w:cs="Times New Roman"/>
          <w:b/>
          <w:bCs/>
          <w:i/>
          <w:iCs/>
          <w:sz w:val="24"/>
          <w:szCs w:val="24"/>
        </w:rPr>
        <w:t>Netzwerk</w:t>
      </w:r>
      <w:proofErr w:type="spellEnd"/>
      <w:r w:rsidRPr="00C76D6B">
        <w:rPr>
          <w:rFonts w:ascii="Times New Roman" w:hAnsi="Times New Roman" w:cs="Times New Roman"/>
          <w:b/>
          <w:bCs/>
          <w:i/>
          <w:iCs/>
          <w:sz w:val="24"/>
          <w:szCs w:val="24"/>
        </w:rPr>
        <w:t xml:space="preserve"> </w:t>
      </w:r>
      <w:proofErr w:type="spellStart"/>
      <w:r w:rsidRPr="00C76D6B">
        <w:rPr>
          <w:rFonts w:ascii="Times New Roman" w:hAnsi="Times New Roman" w:cs="Times New Roman"/>
          <w:b/>
          <w:bCs/>
          <w:i/>
          <w:iCs/>
          <w:sz w:val="24"/>
          <w:szCs w:val="24"/>
        </w:rPr>
        <w:t>Kachelofenbau</w:t>
      </w:r>
      <w:proofErr w:type="spellEnd"/>
      <w:r w:rsidRPr="00C76D6B">
        <w:rPr>
          <w:rFonts w:ascii="Times New Roman" w:hAnsi="Times New Roman" w:cs="Times New Roman"/>
          <w:b/>
          <w:bCs/>
          <w:sz w:val="24"/>
          <w:szCs w:val="24"/>
        </w:rPr>
        <w:t>) was inscribed in the UNESCO Intangible Cultural Heritage list in Germany, a testament to its role in sustainable, climate-friendly heating.</w:t>
      </w:r>
    </w:p>
    <w:p w14:paraId="5AB3DF55" w14:textId="77777777" w:rsidR="00C76D6B" w:rsidRPr="00C76D6B" w:rsidRDefault="00C76D6B" w:rsidP="00C76D6B">
      <w:pPr>
        <w:numPr>
          <w:ilvl w:val="0"/>
          <w:numId w:val="31"/>
        </w:numPr>
        <w:rPr>
          <w:rFonts w:ascii="Times New Roman" w:hAnsi="Times New Roman" w:cs="Times New Roman"/>
          <w:b/>
          <w:bCs/>
          <w:sz w:val="24"/>
          <w:szCs w:val="24"/>
        </w:rPr>
      </w:pPr>
      <w:r w:rsidRPr="00C76D6B">
        <w:rPr>
          <w:rFonts w:ascii="Times New Roman" w:hAnsi="Times New Roman" w:cs="Times New Roman"/>
          <w:b/>
          <w:bCs/>
          <w:sz w:val="24"/>
          <w:szCs w:val="24"/>
        </w:rPr>
        <w:t xml:space="preserve">The "850°" Principle: Advocacy groups like </w:t>
      </w:r>
      <w:r w:rsidRPr="00C76D6B">
        <w:rPr>
          <w:rFonts w:ascii="Times New Roman" w:hAnsi="Times New Roman" w:cs="Times New Roman"/>
          <w:b/>
          <w:bCs/>
          <w:i/>
          <w:iCs/>
          <w:sz w:val="24"/>
          <w:szCs w:val="24"/>
        </w:rPr>
        <w:t xml:space="preserve">850° </w:t>
      </w:r>
      <w:proofErr w:type="spellStart"/>
      <w:r w:rsidRPr="00C76D6B">
        <w:rPr>
          <w:rFonts w:ascii="Times New Roman" w:hAnsi="Times New Roman" w:cs="Times New Roman"/>
          <w:b/>
          <w:bCs/>
          <w:i/>
          <w:iCs/>
          <w:sz w:val="24"/>
          <w:szCs w:val="24"/>
        </w:rPr>
        <w:t>Handwerklicher</w:t>
      </w:r>
      <w:proofErr w:type="spellEnd"/>
      <w:r w:rsidRPr="00C76D6B">
        <w:rPr>
          <w:rFonts w:ascii="Times New Roman" w:hAnsi="Times New Roman" w:cs="Times New Roman"/>
          <w:b/>
          <w:bCs/>
          <w:i/>
          <w:iCs/>
          <w:sz w:val="24"/>
          <w:szCs w:val="24"/>
        </w:rPr>
        <w:t xml:space="preserve"> </w:t>
      </w:r>
      <w:proofErr w:type="spellStart"/>
      <w:r w:rsidRPr="00C76D6B">
        <w:rPr>
          <w:rFonts w:ascii="Times New Roman" w:hAnsi="Times New Roman" w:cs="Times New Roman"/>
          <w:b/>
          <w:bCs/>
          <w:i/>
          <w:iCs/>
          <w:sz w:val="24"/>
          <w:szCs w:val="24"/>
        </w:rPr>
        <w:t>Grundofen</w:t>
      </w:r>
      <w:proofErr w:type="spellEnd"/>
      <w:r w:rsidRPr="00C76D6B">
        <w:rPr>
          <w:rFonts w:ascii="Times New Roman" w:hAnsi="Times New Roman" w:cs="Times New Roman"/>
          <w:b/>
          <w:bCs/>
          <w:i/>
          <w:iCs/>
          <w:sz w:val="24"/>
          <w:szCs w:val="24"/>
        </w:rPr>
        <w:t xml:space="preserve"> </w:t>
      </w:r>
      <w:proofErr w:type="spellStart"/>
      <w:r w:rsidRPr="00C76D6B">
        <w:rPr>
          <w:rFonts w:ascii="Times New Roman" w:hAnsi="Times New Roman" w:cs="Times New Roman"/>
          <w:b/>
          <w:bCs/>
          <w:i/>
          <w:iCs/>
          <w:sz w:val="24"/>
          <w:szCs w:val="24"/>
        </w:rPr>
        <w:t>e.V.</w:t>
      </w:r>
      <w:proofErr w:type="spellEnd"/>
      <w:r w:rsidRPr="00C76D6B">
        <w:rPr>
          <w:rFonts w:ascii="Times New Roman" w:hAnsi="Times New Roman" w:cs="Times New Roman"/>
          <w:b/>
          <w:bCs/>
          <w:sz w:val="24"/>
          <w:szCs w:val="24"/>
        </w:rPr>
        <w:t xml:space="preserve"> emphasize that true artisanal </w:t>
      </w:r>
      <w:proofErr w:type="spellStart"/>
      <w:r w:rsidRPr="00C76D6B">
        <w:rPr>
          <w:rFonts w:ascii="Times New Roman" w:hAnsi="Times New Roman" w:cs="Times New Roman"/>
          <w:b/>
          <w:bCs/>
          <w:sz w:val="24"/>
          <w:szCs w:val="24"/>
        </w:rPr>
        <w:t>Grundöfen</w:t>
      </w:r>
      <w:proofErr w:type="spellEnd"/>
      <w:r w:rsidRPr="00C76D6B">
        <w:rPr>
          <w:rFonts w:ascii="Times New Roman" w:hAnsi="Times New Roman" w:cs="Times New Roman"/>
          <w:b/>
          <w:bCs/>
          <w:sz w:val="24"/>
          <w:szCs w:val="24"/>
        </w:rPr>
        <w:t xml:space="preserve"> operate at combustion temperatures exceeding 850°C. At this temperature, combined with high turbulence and calculated air-excess ratios, particulate matter and volatile organic compounds (VOCs) are almost entirely oxidized.</w:t>
      </w:r>
    </w:p>
    <w:p w14:paraId="418BAB7A" w14:textId="77777777" w:rsidR="00C76D6B" w:rsidRPr="00C76D6B" w:rsidRDefault="00000000" w:rsidP="00C76D6B">
      <w:pPr>
        <w:rPr>
          <w:rFonts w:ascii="Times New Roman" w:hAnsi="Times New Roman" w:cs="Times New Roman"/>
          <w:b/>
          <w:bCs/>
          <w:sz w:val="24"/>
          <w:szCs w:val="24"/>
        </w:rPr>
      </w:pPr>
      <w:r>
        <w:rPr>
          <w:rFonts w:ascii="Times New Roman" w:hAnsi="Times New Roman" w:cs="Times New Roman"/>
          <w:b/>
          <w:bCs/>
          <w:sz w:val="24"/>
          <w:szCs w:val="24"/>
        </w:rPr>
        <w:pict w14:anchorId="3EEB39D9">
          <v:rect id="_x0000_i1028" style="width:0;height:1.5pt" o:hralign="center" o:hrstd="t" o:hr="t" fillcolor="#a0a0a0" stroked="f"/>
        </w:pict>
      </w:r>
    </w:p>
    <w:p w14:paraId="263E3ADE"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lastRenderedPageBreak/>
        <w:t>PART 4: SCIENTIFIC EVIDENCE REVIEW &amp; FACT-CHECKING</w:t>
      </w:r>
    </w:p>
    <w:p w14:paraId="3C651E6E"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To formulate robust policy, Defra must rely on verified empirical data regarding particulate matter capture, test cycles, and real-world performance.</w:t>
      </w:r>
    </w:p>
    <w:p w14:paraId="0E4D3C41"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4.1. The Ricardo Evidence Review for Defra (2022)</w:t>
      </w:r>
    </w:p>
    <w:p w14:paraId="440D385E" w14:textId="77777777" w:rsidR="00C76D6B" w:rsidRPr="00C76D6B" w:rsidRDefault="00C76D6B" w:rsidP="00C76D6B">
      <w:pPr>
        <w:numPr>
          <w:ilvl w:val="0"/>
          <w:numId w:val="32"/>
        </w:numPr>
        <w:rPr>
          <w:rFonts w:ascii="Times New Roman" w:hAnsi="Times New Roman" w:cs="Times New Roman"/>
          <w:b/>
          <w:bCs/>
          <w:sz w:val="24"/>
          <w:szCs w:val="24"/>
        </w:rPr>
      </w:pPr>
      <w:r w:rsidRPr="00C76D6B">
        <w:rPr>
          <w:rFonts w:ascii="Times New Roman" w:hAnsi="Times New Roman" w:cs="Times New Roman"/>
          <w:b/>
          <w:bCs/>
          <w:sz w:val="24"/>
          <w:szCs w:val="24"/>
        </w:rPr>
        <w:t>Finding: The Ricardo report (Project RDE002) confirmed that the EU Ecodesign "heated filter" method likely understates $PM</w:t>
      </w:r>
      <w:proofErr w:type="gramStart"/>
      <w:r w:rsidRPr="00C76D6B">
        <w:rPr>
          <w:rFonts w:ascii="Times New Roman" w:hAnsi="Times New Roman" w:cs="Times New Roman"/>
          <w:b/>
          <w:bCs/>
          <w:sz w:val="24"/>
          <w:szCs w:val="24"/>
        </w:rPr>
        <w:t>_{2.5}$</w:t>
      </w:r>
      <w:proofErr w:type="gramEnd"/>
      <w:r w:rsidRPr="00C76D6B">
        <w:rPr>
          <w:rFonts w:ascii="Times New Roman" w:hAnsi="Times New Roman" w:cs="Times New Roman"/>
          <w:b/>
          <w:bCs/>
          <w:sz w:val="24"/>
          <w:szCs w:val="24"/>
        </w:rPr>
        <w:t xml:space="preserve"> emissions because it fails to capture the "condensable" fraction of smoke (organic gases that cool into soot outside the chimney).</w:t>
      </w:r>
    </w:p>
    <w:p w14:paraId="4A38552D" w14:textId="77777777" w:rsidR="00C76D6B" w:rsidRPr="00C76D6B" w:rsidRDefault="00C76D6B" w:rsidP="00C76D6B">
      <w:pPr>
        <w:numPr>
          <w:ilvl w:val="0"/>
          <w:numId w:val="32"/>
        </w:numPr>
        <w:rPr>
          <w:rFonts w:ascii="Times New Roman" w:hAnsi="Times New Roman" w:cs="Times New Roman"/>
          <w:b/>
          <w:bCs/>
          <w:sz w:val="24"/>
          <w:szCs w:val="24"/>
        </w:rPr>
      </w:pPr>
      <w:r w:rsidRPr="00C76D6B">
        <w:rPr>
          <w:rFonts w:ascii="Times New Roman" w:hAnsi="Times New Roman" w:cs="Times New Roman"/>
          <w:b/>
          <w:bCs/>
          <w:sz w:val="24"/>
          <w:szCs w:val="24"/>
        </w:rPr>
        <w:t xml:space="preserve">The MH Advantage: UK Dilution Tunnel methods (BS 3841) correctly capture total PM (filterable + condensable). Because artisanal </w:t>
      </w:r>
      <w:proofErr w:type="spellStart"/>
      <w:r w:rsidRPr="00C76D6B">
        <w:rPr>
          <w:rFonts w:ascii="Times New Roman" w:hAnsi="Times New Roman" w:cs="Times New Roman"/>
          <w:b/>
          <w:bCs/>
          <w:sz w:val="24"/>
          <w:szCs w:val="24"/>
        </w:rPr>
        <w:t>Grundöfen</w:t>
      </w:r>
      <w:proofErr w:type="spellEnd"/>
      <w:r w:rsidRPr="00C76D6B">
        <w:rPr>
          <w:rFonts w:ascii="Times New Roman" w:hAnsi="Times New Roman" w:cs="Times New Roman"/>
          <w:b/>
          <w:bCs/>
          <w:sz w:val="24"/>
          <w:szCs w:val="24"/>
        </w:rPr>
        <w:t xml:space="preserve"> and </w:t>
      </w:r>
      <w:proofErr w:type="spellStart"/>
      <w:r w:rsidRPr="00C76D6B">
        <w:rPr>
          <w:rFonts w:ascii="Times New Roman" w:hAnsi="Times New Roman" w:cs="Times New Roman"/>
          <w:b/>
          <w:bCs/>
          <w:sz w:val="24"/>
          <w:szCs w:val="24"/>
        </w:rPr>
        <w:t>UmweltPlus</w:t>
      </w:r>
      <w:proofErr w:type="spellEnd"/>
      <w:r w:rsidRPr="00C76D6B">
        <w:rPr>
          <w:rFonts w:ascii="Times New Roman" w:hAnsi="Times New Roman" w:cs="Times New Roman"/>
          <w:b/>
          <w:bCs/>
          <w:sz w:val="24"/>
          <w:szCs w:val="24"/>
        </w:rPr>
        <w:t xml:space="preserve"> fireboxes operate above 850°C, they naturally destroy condensable VOCs within the firebox, meaning their "Total PM" profile is vastly superior to continuous-burn metal stoves which </w:t>
      </w:r>
      <w:proofErr w:type="spellStart"/>
      <w:r w:rsidRPr="00C76D6B">
        <w:rPr>
          <w:rFonts w:ascii="Times New Roman" w:hAnsi="Times New Roman" w:cs="Times New Roman"/>
          <w:b/>
          <w:bCs/>
          <w:sz w:val="24"/>
          <w:szCs w:val="24"/>
        </w:rPr>
        <w:t>smolder</w:t>
      </w:r>
      <w:proofErr w:type="spellEnd"/>
      <w:r w:rsidRPr="00C76D6B">
        <w:rPr>
          <w:rFonts w:ascii="Times New Roman" w:hAnsi="Times New Roman" w:cs="Times New Roman"/>
          <w:b/>
          <w:bCs/>
          <w:sz w:val="24"/>
          <w:szCs w:val="24"/>
        </w:rPr>
        <w:t xml:space="preserve"> and release unburnt </w:t>
      </w:r>
      <w:proofErr w:type="spellStart"/>
      <w:r w:rsidRPr="00C76D6B">
        <w:rPr>
          <w:rFonts w:ascii="Times New Roman" w:hAnsi="Times New Roman" w:cs="Times New Roman"/>
          <w:b/>
          <w:bCs/>
          <w:sz w:val="24"/>
          <w:szCs w:val="24"/>
        </w:rPr>
        <w:t>condensables</w:t>
      </w:r>
      <w:proofErr w:type="spellEnd"/>
      <w:r w:rsidRPr="00C76D6B">
        <w:rPr>
          <w:rFonts w:ascii="Times New Roman" w:hAnsi="Times New Roman" w:cs="Times New Roman"/>
          <w:b/>
          <w:bCs/>
          <w:sz w:val="24"/>
          <w:szCs w:val="24"/>
        </w:rPr>
        <w:t>.</w:t>
      </w:r>
    </w:p>
    <w:p w14:paraId="6E286FD1"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4.2. Test Cycle Integrity</w:t>
      </w:r>
    </w:p>
    <w:p w14:paraId="2056A847" w14:textId="77777777" w:rsidR="00C76D6B" w:rsidRPr="00C76D6B" w:rsidRDefault="00C76D6B" w:rsidP="00C76D6B">
      <w:pPr>
        <w:numPr>
          <w:ilvl w:val="0"/>
          <w:numId w:val="33"/>
        </w:numPr>
        <w:rPr>
          <w:rFonts w:ascii="Times New Roman" w:hAnsi="Times New Roman" w:cs="Times New Roman"/>
          <w:b/>
          <w:bCs/>
          <w:sz w:val="24"/>
          <w:szCs w:val="24"/>
        </w:rPr>
      </w:pPr>
      <w:r w:rsidRPr="00C76D6B">
        <w:rPr>
          <w:rFonts w:ascii="Times New Roman" w:hAnsi="Times New Roman" w:cs="Times New Roman"/>
          <w:b/>
          <w:bCs/>
          <w:sz w:val="24"/>
          <w:szCs w:val="24"/>
        </w:rPr>
        <w:t>Steady-State (EU Ecodesign): Misses startup and cooldown phases, rendering it unrepresentative of real-life operation (DBFZ Report Nr. 3).</w:t>
      </w:r>
    </w:p>
    <w:p w14:paraId="37826F4E" w14:textId="77777777" w:rsidR="00C76D6B" w:rsidRPr="00C76D6B" w:rsidRDefault="00C76D6B" w:rsidP="00C76D6B">
      <w:pPr>
        <w:numPr>
          <w:ilvl w:val="0"/>
          <w:numId w:val="33"/>
        </w:numPr>
        <w:rPr>
          <w:rFonts w:ascii="Times New Roman" w:hAnsi="Times New Roman" w:cs="Times New Roman"/>
          <w:b/>
          <w:bCs/>
          <w:sz w:val="24"/>
          <w:szCs w:val="24"/>
        </w:rPr>
      </w:pPr>
      <w:r w:rsidRPr="00C76D6B">
        <w:rPr>
          <w:rFonts w:ascii="Times New Roman" w:hAnsi="Times New Roman" w:cs="Times New Roman"/>
          <w:b/>
          <w:bCs/>
          <w:sz w:val="24"/>
          <w:szCs w:val="24"/>
        </w:rPr>
        <w:t>Hot-to-Hot (US EPA M28A): Misses roughly 33% of real-world emissions by testing from an already-hot coal bed (Shelton, 1986).</w:t>
      </w:r>
    </w:p>
    <w:p w14:paraId="21F4D011" w14:textId="77777777" w:rsidR="00C76D6B" w:rsidRPr="00C76D6B" w:rsidRDefault="00C76D6B" w:rsidP="00C76D6B">
      <w:pPr>
        <w:numPr>
          <w:ilvl w:val="0"/>
          <w:numId w:val="33"/>
        </w:numPr>
        <w:rPr>
          <w:rFonts w:ascii="Times New Roman" w:hAnsi="Times New Roman" w:cs="Times New Roman"/>
          <w:b/>
          <w:bCs/>
          <w:sz w:val="24"/>
          <w:szCs w:val="24"/>
        </w:rPr>
      </w:pPr>
      <w:r w:rsidRPr="00C76D6B">
        <w:rPr>
          <w:rFonts w:ascii="Times New Roman" w:hAnsi="Times New Roman" w:cs="Times New Roman"/>
          <w:b/>
          <w:bCs/>
          <w:sz w:val="24"/>
          <w:szCs w:val="24"/>
        </w:rPr>
        <w:t>Cold-to-Cold (Lopez Labs / MH Testing): Captures the entire cycle, including the highest-emission cold startup phase. Despite this rigorous standard, MHs still average sub-1.0 g/kg emissions.</w:t>
      </w:r>
    </w:p>
    <w:p w14:paraId="47DECFA7" w14:textId="77777777" w:rsidR="00C76D6B" w:rsidRPr="00C76D6B" w:rsidRDefault="00000000" w:rsidP="00C76D6B">
      <w:pPr>
        <w:rPr>
          <w:rFonts w:ascii="Times New Roman" w:hAnsi="Times New Roman" w:cs="Times New Roman"/>
          <w:b/>
          <w:bCs/>
          <w:sz w:val="24"/>
          <w:szCs w:val="24"/>
        </w:rPr>
      </w:pPr>
      <w:r>
        <w:rPr>
          <w:rFonts w:ascii="Times New Roman" w:hAnsi="Times New Roman" w:cs="Times New Roman"/>
          <w:b/>
          <w:bCs/>
          <w:sz w:val="24"/>
          <w:szCs w:val="24"/>
        </w:rPr>
        <w:pict w14:anchorId="61170A27">
          <v:rect id="_x0000_i1029" style="width:0;height:1.5pt" o:hralign="center" o:hrstd="t" o:hr="t" fillcolor="#a0a0a0" stroked="f"/>
        </w:pict>
      </w:r>
    </w:p>
    <w:p w14:paraId="49D10B57"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PART 5: THE LEGAL AND STANDARDS FRAMEWORK (BS EN 15544 &amp; 15250)</w:t>
      </w:r>
    </w:p>
    <w:p w14:paraId="73ACE1FE"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The UK does not need to draft new standards; the required technical frameworks have already been adopted by the British Standards Institution (BSI).</w:t>
      </w:r>
    </w:p>
    <w:p w14:paraId="4A66C1DD"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5.1. BS EN 15250:2007 – Slow Heat Release Appliances</w:t>
      </w:r>
    </w:p>
    <w:p w14:paraId="63280709"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 xml:space="preserve">Unlike standard stoves, masonry heaters are legally classified under BS EN 15250. </w:t>
      </w:r>
      <w:proofErr w:type="gramStart"/>
      <w:r w:rsidRPr="00C76D6B">
        <w:rPr>
          <w:rFonts w:ascii="Times New Roman" w:hAnsi="Times New Roman" w:cs="Times New Roman"/>
          <w:b/>
          <w:bCs/>
          <w:sz w:val="24"/>
          <w:szCs w:val="24"/>
        </w:rPr>
        <w:t>This standard mandates</w:t>
      </w:r>
      <w:proofErr w:type="gramEnd"/>
      <w:r w:rsidRPr="00C76D6B">
        <w:rPr>
          <w:rFonts w:ascii="Times New Roman" w:hAnsi="Times New Roman" w:cs="Times New Roman"/>
          <w:b/>
          <w:bCs/>
          <w:sz w:val="24"/>
          <w:szCs w:val="24"/>
        </w:rPr>
        <w:t xml:space="preserve"> that manufacturers declare the "thermal storage capacity" of the mass. It defines the appliance by its ability to radiate heat long after the fire is extinguished, creating a clear legal distinction from continuous-burn metal stoves.</w:t>
      </w:r>
    </w:p>
    <w:p w14:paraId="11A2D69D"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5.2. BS EN 15544:2009/2023 – Certification by Calculation</w:t>
      </w:r>
    </w:p>
    <w:p w14:paraId="2F0FFF8E"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BS EN 15544 provides a rigorous mathematical proof for "one-off mortared stoves."</w:t>
      </w:r>
    </w:p>
    <w:p w14:paraId="13CBBF1C" w14:textId="77777777" w:rsidR="00C76D6B" w:rsidRPr="00C76D6B" w:rsidRDefault="00C76D6B" w:rsidP="00C76D6B">
      <w:pPr>
        <w:numPr>
          <w:ilvl w:val="0"/>
          <w:numId w:val="34"/>
        </w:numPr>
        <w:rPr>
          <w:rFonts w:ascii="Times New Roman" w:hAnsi="Times New Roman" w:cs="Times New Roman"/>
          <w:b/>
          <w:bCs/>
          <w:sz w:val="24"/>
          <w:szCs w:val="24"/>
        </w:rPr>
      </w:pPr>
      <w:r w:rsidRPr="00C76D6B">
        <w:rPr>
          <w:rFonts w:ascii="Times New Roman" w:hAnsi="Times New Roman" w:cs="Times New Roman"/>
          <w:b/>
          <w:bCs/>
          <w:sz w:val="24"/>
          <w:szCs w:val="24"/>
        </w:rPr>
        <w:t>The Mechanism: If an artisan adheres to the specific dimensioning rules—calculating firebox surface area, flue channel length, and maintaining air intake cross-sections to ensure gas speeds of 2–4 m/s—the appliance is physically proven to achieve:</w:t>
      </w:r>
    </w:p>
    <w:p w14:paraId="0A6F4475" w14:textId="77777777" w:rsidR="00C76D6B" w:rsidRPr="00C76D6B" w:rsidRDefault="00C76D6B" w:rsidP="00C76D6B">
      <w:pPr>
        <w:numPr>
          <w:ilvl w:val="1"/>
          <w:numId w:val="34"/>
        </w:numPr>
        <w:rPr>
          <w:rFonts w:ascii="Times New Roman" w:hAnsi="Times New Roman" w:cs="Times New Roman"/>
          <w:b/>
          <w:bCs/>
          <w:sz w:val="24"/>
          <w:szCs w:val="24"/>
        </w:rPr>
      </w:pPr>
      <w:r w:rsidRPr="00C76D6B">
        <w:rPr>
          <w:rFonts w:ascii="Times New Roman" w:hAnsi="Times New Roman" w:cs="Times New Roman"/>
          <w:b/>
          <w:bCs/>
          <w:sz w:val="24"/>
          <w:szCs w:val="24"/>
        </w:rPr>
        <w:t>Dust (PM): $\le$ 60 mg/MJ.</w:t>
      </w:r>
    </w:p>
    <w:p w14:paraId="69A1E137" w14:textId="77777777" w:rsidR="00C76D6B" w:rsidRPr="00C76D6B" w:rsidRDefault="00C76D6B" w:rsidP="00C76D6B">
      <w:pPr>
        <w:numPr>
          <w:ilvl w:val="1"/>
          <w:numId w:val="34"/>
        </w:numPr>
        <w:rPr>
          <w:rFonts w:ascii="Times New Roman" w:hAnsi="Times New Roman" w:cs="Times New Roman"/>
          <w:b/>
          <w:bCs/>
          <w:sz w:val="24"/>
          <w:szCs w:val="24"/>
        </w:rPr>
      </w:pPr>
      <w:r w:rsidRPr="00C76D6B">
        <w:rPr>
          <w:rFonts w:ascii="Times New Roman" w:hAnsi="Times New Roman" w:cs="Times New Roman"/>
          <w:b/>
          <w:bCs/>
          <w:sz w:val="24"/>
          <w:szCs w:val="24"/>
        </w:rPr>
        <w:lastRenderedPageBreak/>
        <w:t>CO: $\le$ 1000 mg/MJ.</w:t>
      </w:r>
    </w:p>
    <w:p w14:paraId="0249FB56" w14:textId="77777777" w:rsidR="00C76D6B" w:rsidRPr="00C76D6B" w:rsidRDefault="00C76D6B" w:rsidP="00C76D6B">
      <w:pPr>
        <w:numPr>
          <w:ilvl w:val="1"/>
          <w:numId w:val="34"/>
        </w:numPr>
        <w:rPr>
          <w:rFonts w:ascii="Times New Roman" w:hAnsi="Times New Roman" w:cs="Times New Roman"/>
          <w:b/>
          <w:bCs/>
          <w:sz w:val="24"/>
          <w:szCs w:val="24"/>
        </w:rPr>
      </w:pPr>
      <w:r w:rsidRPr="00C76D6B">
        <w:rPr>
          <w:rFonts w:ascii="Times New Roman" w:hAnsi="Times New Roman" w:cs="Times New Roman"/>
          <w:b/>
          <w:bCs/>
          <w:sz w:val="24"/>
          <w:szCs w:val="24"/>
        </w:rPr>
        <w:t>NOx: $\le$ 150 mg/MJ.</w:t>
      </w:r>
    </w:p>
    <w:p w14:paraId="6B3BCB7C" w14:textId="77777777" w:rsidR="00C76D6B" w:rsidRPr="00C76D6B" w:rsidRDefault="00C76D6B" w:rsidP="00C76D6B">
      <w:pPr>
        <w:numPr>
          <w:ilvl w:val="1"/>
          <w:numId w:val="34"/>
        </w:numPr>
        <w:rPr>
          <w:rFonts w:ascii="Times New Roman" w:hAnsi="Times New Roman" w:cs="Times New Roman"/>
          <w:b/>
          <w:bCs/>
          <w:sz w:val="24"/>
          <w:szCs w:val="24"/>
        </w:rPr>
      </w:pPr>
      <w:r w:rsidRPr="00C76D6B">
        <w:rPr>
          <w:rFonts w:ascii="Times New Roman" w:hAnsi="Times New Roman" w:cs="Times New Roman"/>
          <w:b/>
          <w:bCs/>
          <w:sz w:val="24"/>
          <w:szCs w:val="24"/>
        </w:rPr>
        <w:t>Efficiency: $\</w:t>
      </w:r>
      <w:proofErr w:type="spellStart"/>
      <w:r w:rsidRPr="00C76D6B">
        <w:rPr>
          <w:rFonts w:ascii="Times New Roman" w:hAnsi="Times New Roman" w:cs="Times New Roman"/>
          <w:b/>
          <w:bCs/>
          <w:sz w:val="24"/>
          <w:szCs w:val="24"/>
        </w:rPr>
        <w:t>ge</w:t>
      </w:r>
      <w:proofErr w:type="spellEnd"/>
      <w:r w:rsidRPr="00C76D6B">
        <w:rPr>
          <w:rFonts w:ascii="Times New Roman" w:hAnsi="Times New Roman" w:cs="Times New Roman"/>
          <w:b/>
          <w:bCs/>
          <w:sz w:val="24"/>
          <w:szCs w:val="24"/>
        </w:rPr>
        <w:t>$ 78%.</w:t>
      </w:r>
    </w:p>
    <w:p w14:paraId="6FFA4B8F" w14:textId="77777777" w:rsidR="00C76D6B" w:rsidRPr="00C76D6B" w:rsidRDefault="00C76D6B" w:rsidP="00C76D6B">
      <w:pPr>
        <w:numPr>
          <w:ilvl w:val="0"/>
          <w:numId w:val="34"/>
        </w:numPr>
        <w:rPr>
          <w:rFonts w:ascii="Times New Roman" w:hAnsi="Times New Roman" w:cs="Times New Roman"/>
          <w:b/>
          <w:bCs/>
          <w:sz w:val="24"/>
          <w:szCs w:val="24"/>
        </w:rPr>
      </w:pPr>
      <w:r w:rsidRPr="00C76D6B">
        <w:rPr>
          <w:rFonts w:ascii="Times New Roman" w:hAnsi="Times New Roman" w:cs="Times New Roman"/>
          <w:b/>
          <w:bCs/>
          <w:sz w:val="24"/>
          <w:szCs w:val="24"/>
        </w:rPr>
        <w:t>The Austrian Legal Precedent: Under Austrian 15a B-VG law, this calculation is legally equivalent to physical laboratory type-testing. This zero-cost regulatory pathway prevents artisanal builders from being priced out of the market by £10,000+ lab testing fees for bespoke, site-built heaters.</w:t>
      </w:r>
    </w:p>
    <w:p w14:paraId="703192ED" w14:textId="77777777" w:rsidR="00C76D6B" w:rsidRPr="00C76D6B" w:rsidRDefault="00000000" w:rsidP="00C76D6B">
      <w:pPr>
        <w:rPr>
          <w:rFonts w:ascii="Times New Roman" w:hAnsi="Times New Roman" w:cs="Times New Roman"/>
          <w:b/>
          <w:bCs/>
          <w:sz w:val="24"/>
          <w:szCs w:val="24"/>
        </w:rPr>
      </w:pPr>
      <w:r>
        <w:rPr>
          <w:rFonts w:ascii="Times New Roman" w:hAnsi="Times New Roman" w:cs="Times New Roman"/>
          <w:b/>
          <w:bCs/>
          <w:sz w:val="24"/>
          <w:szCs w:val="24"/>
        </w:rPr>
        <w:pict w14:anchorId="4BED6F95">
          <v:rect id="_x0000_i1030" style="width:0;height:1.5pt" o:hralign="center" o:hrstd="t" o:hr="t" fillcolor="#a0a0a0" stroked="f"/>
        </w:pict>
      </w:r>
    </w:p>
    <w:p w14:paraId="38DE702E"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PART 6: GLOBAL JURISDICTIONAL PRECEDENTS</w:t>
      </w:r>
    </w:p>
    <w:p w14:paraId="488265B5"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A comparative analysis reveals that the UK is a global outlier in its failure to formally accommodate high-mass thermal appliances.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176"/>
        <w:gridCol w:w="1838"/>
        <w:gridCol w:w="4624"/>
      </w:tblGrid>
      <w:tr w:rsidR="00C76D6B" w:rsidRPr="00C76D6B" w14:paraId="5904C2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84B828"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Jurisdiction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9A37B"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1946D"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Status of Masonry Heaters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8056C"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Policy Mechanism &amp; Evidence</w:t>
            </w:r>
          </w:p>
        </w:tc>
      </w:tr>
      <w:tr w:rsidR="00C76D6B" w:rsidRPr="00C76D6B" w14:paraId="3C48F3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9FA593"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Austria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FAD73"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mg/MJ</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E05B1"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Calculation = Legal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D4D3D"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15a B-VG / EN 15544. The global gold standard.</w:t>
            </w:r>
          </w:p>
        </w:tc>
      </w:tr>
      <w:tr w:rsidR="00C76D6B" w:rsidRPr="00C76D6B" w14:paraId="00538E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8D323"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Sweden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8CD57"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A6475"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Explicitly Exempt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CE53F" w14:textId="77777777" w:rsidR="00C76D6B" w:rsidRPr="00C76D6B" w:rsidRDefault="00C76D6B" w:rsidP="00C76D6B">
            <w:pPr>
              <w:rPr>
                <w:rFonts w:ascii="Times New Roman" w:hAnsi="Times New Roman" w:cs="Times New Roman"/>
                <w:b/>
                <w:bCs/>
                <w:sz w:val="24"/>
                <w:szCs w:val="24"/>
              </w:rPr>
            </w:pPr>
            <w:proofErr w:type="spellStart"/>
            <w:r w:rsidRPr="00C76D6B">
              <w:rPr>
                <w:rFonts w:ascii="Times New Roman" w:hAnsi="Times New Roman" w:cs="Times New Roman"/>
                <w:b/>
                <w:bCs/>
                <w:sz w:val="24"/>
                <w:szCs w:val="24"/>
              </w:rPr>
              <w:t>Boverket</w:t>
            </w:r>
            <w:proofErr w:type="spellEnd"/>
            <w:r w:rsidRPr="00C76D6B">
              <w:rPr>
                <w:rFonts w:ascii="Times New Roman" w:hAnsi="Times New Roman" w:cs="Times New Roman"/>
                <w:b/>
                <w:bCs/>
                <w:sz w:val="24"/>
                <w:szCs w:val="24"/>
              </w:rPr>
              <w:t xml:space="preserve"> building regulations explicitly exempt </w:t>
            </w:r>
            <w:proofErr w:type="spellStart"/>
            <w:r w:rsidRPr="00C76D6B">
              <w:rPr>
                <w:rFonts w:ascii="Times New Roman" w:hAnsi="Times New Roman" w:cs="Times New Roman"/>
                <w:b/>
                <w:bCs/>
                <w:i/>
                <w:iCs/>
                <w:sz w:val="24"/>
                <w:szCs w:val="24"/>
              </w:rPr>
              <w:t>Kakelugnar</w:t>
            </w:r>
            <w:proofErr w:type="spellEnd"/>
            <w:r w:rsidRPr="00C76D6B">
              <w:rPr>
                <w:rFonts w:ascii="Times New Roman" w:hAnsi="Times New Roman" w:cs="Times New Roman"/>
                <w:b/>
                <w:bCs/>
                <w:sz w:val="24"/>
                <w:szCs w:val="24"/>
              </w:rPr>
              <w:t xml:space="preserve"> from standard emission/efficiency requirements due to their slow-heat profile.</w:t>
            </w:r>
          </w:p>
        </w:tc>
      </w:tr>
      <w:tr w:rsidR="00C76D6B" w:rsidRPr="00C76D6B" w14:paraId="5633E5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987F65"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USA</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C1425"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g/h</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D9820"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Exempt (&gt; 800 kg)</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1BE71"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EPA 40 CFR Part 60 Subpart AAA recognizes lab testing is physically impossible and unnecessary for massive thermal units.</w:t>
            </w:r>
          </w:p>
        </w:tc>
      </w:tr>
      <w:tr w:rsidR="00C76D6B" w:rsidRPr="00C76D6B" w14:paraId="5A7698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F60B93"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France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6D2FB"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$mg/m^3$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8B317"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Tax Code / Subsidies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B2CE8"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 xml:space="preserve">NF EN 15544 inscribed in Tax Code; qualifies for </w:t>
            </w:r>
            <w:proofErr w:type="spellStart"/>
            <w:r w:rsidRPr="00C76D6B">
              <w:rPr>
                <w:rFonts w:ascii="Times New Roman" w:hAnsi="Times New Roman" w:cs="Times New Roman"/>
                <w:b/>
                <w:bCs/>
                <w:i/>
                <w:iCs/>
                <w:sz w:val="24"/>
                <w:szCs w:val="24"/>
              </w:rPr>
              <w:t>MaPrimeRénov</w:t>
            </w:r>
            <w:proofErr w:type="spellEnd"/>
            <w:r w:rsidRPr="00C76D6B">
              <w:rPr>
                <w:rFonts w:ascii="Times New Roman" w:hAnsi="Times New Roman" w:cs="Times New Roman"/>
                <w:b/>
                <w:bCs/>
                <w:i/>
                <w:iCs/>
                <w:sz w:val="24"/>
                <w:szCs w:val="24"/>
              </w:rPr>
              <w:t>'</w:t>
            </w:r>
            <w:r w:rsidRPr="00C76D6B">
              <w:rPr>
                <w:rFonts w:ascii="Times New Roman" w:hAnsi="Times New Roman" w:cs="Times New Roman"/>
                <w:b/>
                <w:bCs/>
                <w:sz w:val="24"/>
                <w:szCs w:val="24"/>
              </w:rPr>
              <w:t xml:space="preserve"> green energy grants.</w:t>
            </w:r>
          </w:p>
        </w:tc>
      </w:tr>
      <w:tr w:rsidR="00C76D6B" w:rsidRPr="00C76D6B" w14:paraId="500539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D56B01"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Germany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6D3F7"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$mg/m^3$</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E72F7"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Strict Regulation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D251B" w14:textId="77777777" w:rsidR="00C76D6B" w:rsidRPr="00C76D6B" w:rsidRDefault="00C76D6B" w:rsidP="00C76D6B">
            <w:pPr>
              <w:rPr>
                <w:rFonts w:ascii="Times New Roman" w:hAnsi="Times New Roman" w:cs="Times New Roman"/>
                <w:b/>
                <w:bCs/>
                <w:sz w:val="24"/>
                <w:szCs w:val="24"/>
              </w:rPr>
            </w:pPr>
            <w:proofErr w:type="spellStart"/>
            <w:r w:rsidRPr="00C76D6B">
              <w:rPr>
                <w:rFonts w:ascii="Times New Roman" w:hAnsi="Times New Roman" w:cs="Times New Roman"/>
                <w:b/>
                <w:bCs/>
                <w:sz w:val="24"/>
                <w:szCs w:val="24"/>
              </w:rPr>
              <w:t>Handwerklicher</w:t>
            </w:r>
            <w:proofErr w:type="spellEnd"/>
            <w:r w:rsidRPr="00C76D6B">
              <w:rPr>
                <w:rFonts w:ascii="Times New Roman" w:hAnsi="Times New Roman" w:cs="Times New Roman"/>
                <w:b/>
                <w:bCs/>
                <w:sz w:val="24"/>
                <w:szCs w:val="24"/>
              </w:rPr>
              <w:t xml:space="preserve"> </w:t>
            </w:r>
            <w:proofErr w:type="spellStart"/>
            <w:r w:rsidRPr="00C76D6B">
              <w:rPr>
                <w:rFonts w:ascii="Times New Roman" w:hAnsi="Times New Roman" w:cs="Times New Roman"/>
                <w:b/>
                <w:bCs/>
                <w:sz w:val="24"/>
                <w:szCs w:val="24"/>
              </w:rPr>
              <w:t>Grundöfen</w:t>
            </w:r>
            <w:proofErr w:type="spellEnd"/>
            <w:r w:rsidRPr="00C76D6B">
              <w:rPr>
                <w:rFonts w:ascii="Times New Roman" w:hAnsi="Times New Roman" w:cs="Times New Roman"/>
                <w:b/>
                <w:bCs/>
                <w:sz w:val="24"/>
                <w:szCs w:val="24"/>
              </w:rPr>
              <w:t xml:space="preserve"> meet 1. </w:t>
            </w:r>
            <w:proofErr w:type="spellStart"/>
            <w:r w:rsidRPr="00C76D6B">
              <w:rPr>
                <w:rFonts w:ascii="Times New Roman" w:hAnsi="Times New Roman" w:cs="Times New Roman"/>
                <w:b/>
                <w:bCs/>
                <w:sz w:val="24"/>
                <w:szCs w:val="24"/>
              </w:rPr>
              <w:t>BImSchV</w:t>
            </w:r>
            <w:proofErr w:type="spellEnd"/>
            <w:r w:rsidRPr="00C76D6B">
              <w:rPr>
                <w:rFonts w:ascii="Times New Roman" w:hAnsi="Times New Roman" w:cs="Times New Roman"/>
                <w:b/>
                <w:bCs/>
                <w:sz w:val="24"/>
                <w:szCs w:val="24"/>
              </w:rPr>
              <w:t xml:space="preserve"> </w:t>
            </w:r>
            <w:proofErr w:type="spellStart"/>
            <w:r w:rsidRPr="00C76D6B">
              <w:rPr>
                <w:rFonts w:ascii="Times New Roman" w:hAnsi="Times New Roman" w:cs="Times New Roman"/>
                <w:b/>
                <w:bCs/>
                <w:sz w:val="24"/>
                <w:szCs w:val="24"/>
              </w:rPr>
              <w:t>Stufe</w:t>
            </w:r>
            <w:proofErr w:type="spellEnd"/>
            <w:r w:rsidRPr="00C76D6B">
              <w:rPr>
                <w:rFonts w:ascii="Times New Roman" w:hAnsi="Times New Roman" w:cs="Times New Roman"/>
                <w:b/>
                <w:bCs/>
                <w:sz w:val="24"/>
                <w:szCs w:val="24"/>
              </w:rPr>
              <w:t xml:space="preserve"> 2 via calculation or filtered equivalence.</w:t>
            </w:r>
          </w:p>
        </w:tc>
      </w:tr>
      <w:tr w:rsidR="00C76D6B" w:rsidRPr="00C76D6B" w14:paraId="43C65E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7042CC"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UK (Current)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F942E"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g/h</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47D28"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Unrecognized / Case-by-Case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23635"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 xml:space="preserve">Defra Exemption #554 (Jansen/Camina 5-run system) proves Defra recognizes the </w:t>
            </w:r>
            <w:proofErr w:type="gramStart"/>
            <w:r w:rsidRPr="00C76D6B">
              <w:rPr>
                <w:rFonts w:ascii="Times New Roman" w:hAnsi="Times New Roman" w:cs="Times New Roman"/>
                <w:b/>
                <w:bCs/>
                <w:sz w:val="24"/>
                <w:szCs w:val="24"/>
              </w:rPr>
              <w:t>technology, but</w:t>
            </w:r>
            <w:proofErr w:type="gramEnd"/>
            <w:r w:rsidRPr="00C76D6B">
              <w:rPr>
                <w:rFonts w:ascii="Times New Roman" w:hAnsi="Times New Roman" w:cs="Times New Roman"/>
                <w:b/>
                <w:bCs/>
                <w:sz w:val="24"/>
                <w:szCs w:val="24"/>
              </w:rPr>
              <w:t xml:space="preserve"> lacks a generalized pathway.</w:t>
            </w:r>
          </w:p>
        </w:tc>
      </w:tr>
    </w:tbl>
    <w:p w14:paraId="2C2261C2" w14:textId="77777777" w:rsidR="00C76D6B" w:rsidRPr="00C76D6B" w:rsidRDefault="00000000" w:rsidP="00C76D6B">
      <w:pPr>
        <w:rPr>
          <w:rFonts w:ascii="Times New Roman" w:hAnsi="Times New Roman" w:cs="Times New Roman"/>
          <w:b/>
          <w:bCs/>
          <w:sz w:val="24"/>
          <w:szCs w:val="24"/>
        </w:rPr>
      </w:pPr>
      <w:r>
        <w:rPr>
          <w:rFonts w:ascii="Times New Roman" w:hAnsi="Times New Roman" w:cs="Times New Roman"/>
          <w:b/>
          <w:bCs/>
          <w:sz w:val="24"/>
          <w:szCs w:val="24"/>
        </w:rPr>
        <w:pict w14:anchorId="6EDE72CE">
          <v:rect id="_x0000_i1031" style="width:0;height:1.5pt" o:hralign="center" o:hrstd="t" o:hr="t" fillcolor="#a0a0a0" stroked="f"/>
        </w:pict>
      </w:r>
    </w:p>
    <w:p w14:paraId="3E0D0C3E"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PART 7: THE "FRENCH MODEL" – A ROADMAP FOR THE UK</w:t>
      </w:r>
    </w:p>
    <w:p w14:paraId="159B8C47"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lastRenderedPageBreak/>
        <w:t xml:space="preserve">In 2013, France had zero regulatory recognition for masonry heaters. Today, thanks to the efforts of the AFPMA (Association Française du </w:t>
      </w:r>
      <w:proofErr w:type="spellStart"/>
      <w:r w:rsidRPr="00C76D6B">
        <w:rPr>
          <w:rFonts w:ascii="Times New Roman" w:hAnsi="Times New Roman" w:cs="Times New Roman"/>
          <w:b/>
          <w:bCs/>
          <w:sz w:val="24"/>
          <w:szCs w:val="24"/>
        </w:rPr>
        <w:t>Poêle</w:t>
      </w:r>
      <w:proofErr w:type="spellEnd"/>
      <w:r w:rsidRPr="00C76D6B">
        <w:rPr>
          <w:rFonts w:ascii="Times New Roman" w:hAnsi="Times New Roman" w:cs="Times New Roman"/>
          <w:b/>
          <w:bCs/>
          <w:sz w:val="24"/>
          <w:szCs w:val="24"/>
        </w:rPr>
        <w:t xml:space="preserve"> </w:t>
      </w:r>
      <w:proofErr w:type="spellStart"/>
      <w:r w:rsidRPr="00C76D6B">
        <w:rPr>
          <w:rFonts w:ascii="Times New Roman" w:hAnsi="Times New Roman" w:cs="Times New Roman"/>
          <w:b/>
          <w:bCs/>
          <w:sz w:val="24"/>
          <w:szCs w:val="24"/>
        </w:rPr>
        <w:t>Maçonné</w:t>
      </w:r>
      <w:proofErr w:type="spellEnd"/>
      <w:r w:rsidRPr="00C76D6B">
        <w:rPr>
          <w:rFonts w:ascii="Times New Roman" w:hAnsi="Times New Roman" w:cs="Times New Roman"/>
          <w:b/>
          <w:bCs/>
          <w:sz w:val="24"/>
          <w:szCs w:val="24"/>
        </w:rPr>
        <w:t xml:space="preserve"> Artisanal), they install ~1,000 subsidized heaters annually. The UK can rapidly replicate this success:</w:t>
      </w:r>
    </w:p>
    <w:p w14:paraId="0B614CE6" w14:textId="77777777" w:rsidR="00C76D6B" w:rsidRPr="00C76D6B" w:rsidRDefault="00C76D6B" w:rsidP="00C76D6B">
      <w:pPr>
        <w:numPr>
          <w:ilvl w:val="0"/>
          <w:numId w:val="35"/>
        </w:numPr>
        <w:rPr>
          <w:rFonts w:ascii="Times New Roman" w:hAnsi="Times New Roman" w:cs="Times New Roman"/>
          <w:b/>
          <w:bCs/>
          <w:sz w:val="24"/>
          <w:szCs w:val="24"/>
        </w:rPr>
      </w:pPr>
      <w:r w:rsidRPr="00C76D6B">
        <w:rPr>
          <w:rFonts w:ascii="Times New Roman" w:hAnsi="Times New Roman" w:cs="Times New Roman"/>
          <w:b/>
          <w:bCs/>
          <w:sz w:val="24"/>
          <w:szCs w:val="24"/>
        </w:rPr>
        <w:t>Establish the UKMHA: Form a UK Masonry Heater Association to serve as the unified professional body interfacing with Defra, BSI, and HETAS.</w:t>
      </w:r>
    </w:p>
    <w:p w14:paraId="2ECFC383" w14:textId="77777777" w:rsidR="00C76D6B" w:rsidRPr="00C76D6B" w:rsidRDefault="00C76D6B" w:rsidP="00C76D6B">
      <w:pPr>
        <w:numPr>
          <w:ilvl w:val="0"/>
          <w:numId w:val="35"/>
        </w:numPr>
        <w:rPr>
          <w:rFonts w:ascii="Times New Roman" w:hAnsi="Times New Roman" w:cs="Times New Roman"/>
          <w:b/>
          <w:bCs/>
          <w:sz w:val="24"/>
          <w:szCs w:val="24"/>
        </w:rPr>
      </w:pPr>
      <w:r w:rsidRPr="00C76D6B">
        <w:rPr>
          <w:rFonts w:ascii="Times New Roman" w:hAnsi="Times New Roman" w:cs="Times New Roman"/>
          <w:b/>
          <w:bCs/>
          <w:sz w:val="24"/>
          <w:szCs w:val="24"/>
        </w:rPr>
        <w:t>Recognise BS EN 15544: Defra must formally accept the calculation method as valid evidence for Smoke Control Area exemptions, bypassing the incompatible 1 g/h physical testing requirement for site-built units.</w:t>
      </w:r>
    </w:p>
    <w:p w14:paraId="738C35A7" w14:textId="77777777" w:rsidR="00C76D6B" w:rsidRPr="00C76D6B" w:rsidRDefault="00C76D6B" w:rsidP="00C76D6B">
      <w:pPr>
        <w:numPr>
          <w:ilvl w:val="0"/>
          <w:numId w:val="35"/>
        </w:numPr>
        <w:rPr>
          <w:rFonts w:ascii="Times New Roman" w:hAnsi="Times New Roman" w:cs="Times New Roman"/>
          <w:b/>
          <w:bCs/>
          <w:sz w:val="24"/>
          <w:szCs w:val="24"/>
        </w:rPr>
      </w:pPr>
      <w:r w:rsidRPr="00C76D6B">
        <w:rPr>
          <w:rFonts w:ascii="Times New Roman" w:hAnsi="Times New Roman" w:cs="Times New Roman"/>
          <w:b/>
          <w:bCs/>
          <w:sz w:val="24"/>
          <w:szCs w:val="24"/>
        </w:rPr>
        <w:t>Partner with HETAS: Utilize the existing HETAS infrastructure to create a "</w:t>
      </w:r>
      <w:proofErr w:type="spellStart"/>
      <w:r w:rsidRPr="00C76D6B">
        <w:rPr>
          <w:rFonts w:ascii="Times New Roman" w:hAnsi="Times New Roman" w:cs="Times New Roman"/>
          <w:b/>
          <w:bCs/>
          <w:sz w:val="24"/>
          <w:szCs w:val="24"/>
        </w:rPr>
        <w:t>Poêlier</w:t>
      </w:r>
      <w:proofErr w:type="spellEnd"/>
      <w:r w:rsidRPr="00C76D6B">
        <w:rPr>
          <w:rFonts w:ascii="Times New Roman" w:hAnsi="Times New Roman" w:cs="Times New Roman"/>
          <w:b/>
          <w:bCs/>
          <w:sz w:val="24"/>
          <w:szCs w:val="24"/>
        </w:rPr>
        <w:t>" (Masonry Heater Builder) certification, mirroring the French CQP (Certificate of Professional Qualification), ensuring all installations are safe, draft-calculated, and compliant.</w:t>
      </w:r>
    </w:p>
    <w:p w14:paraId="64F3494B" w14:textId="77777777" w:rsidR="00C76D6B" w:rsidRPr="00C76D6B" w:rsidRDefault="00C76D6B" w:rsidP="00C76D6B">
      <w:pPr>
        <w:numPr>
          <w:ilvl w:val="0"/>
          <w:numId w:val="35"/>
        </w:numPr>
        <w:rPr>
          <w:rFonts w:ascii="Times New Roman" w:hAnsi="Times New Roman" w:cs="Times New Roman"/>
          <w:b/>
          <w:bCs/>
          <w:sz w:val="24"/>
          <w:szCs w:val="24"/>
        </w:rPr>
      </w:pPr>
      <w:r w:rsidRPr="00C76D6B">
        <w:rPr>
          <w:rFonts w:ascii="Times New Roman" w:hAnsi="Times New Roman" w:cs="Times New Roman"/>
          <w:b/>
          <w:bCs/>
          <w:sz w:val="24"/>
          <w:szCs w:val="24"/>
        </w:rPr>
        <w:t>Deploy FIRECALC: Utilize the advanced calculation software developed by the AFPMA to certify complex contraflow and bell systems to UK building standards, extending beyond the Austrian channel-heater scope of the original EN 15544.</w:t>
      </w:r>
    </w:p>
    <w:p w14:paraId="644FA560" w14:textId="77777777" w:rsidR="00C76D6B" w:rsidRPr="00C76D6B" w:rsidRDefault="00000000" w:rsidP="00C76D6B">
      <w:pPr>
        <w:rPr>
          <w:rFonts w:ascii="Times New Roman" w:hAnsi="Times New Roman" w:cs="Times New Roman"/>
          <w:b/>
          <w:bCs/>
          <w:sz w:val="24"/>
          <w:szCs w:val="24"/>
        </w:rPr>
      </w:pPr>
      <w:r>
        <w:rPr>
          <w:rFonts w:ascii="Times New Roman" w:hAnsi="Times New Roman" w:cs="Times New Roman"/>
          <w:b/>
          <w:bCs/>
          <w:sz w:val="24"/>
          <w:szCs w:val="24"/>
        </w:rPr>
        <w:pict w14:anchorId="66E73435">
          <v:rect id="_x0000_i1032" style="width:0;height:1.5pt" o:hralign="center" o:hrstd="t" o:hr="t" fillcolor="#a0a0a0" stroked="f"/>
        </w:pict>
      </w:r>
    </w:p>
    <w:p w14:paraId="5E8839A0"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PART 8: ANALYSIS OF THE "850° GRUNDOFEN" POSITION</w:t>
      </w:r>
    </w:p>
    <w:p w14:paraId="2B17A297"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 xml:space="preserve">The German association </w:t>
      </w:r>
      <w:r w:rsidRPr="00C76D6B">
        <w:rPr>
          <w:rFonts w:ascii="Times New Roman" w:hAnsi="Times New Roman" w:cs="Times New Roman"/>
          <w:b/>
          <w:bCs/>
          <w:i/>
          <w:iCs/>
          <w:sz w:val="24"/>
          <w:szCs w:val="24"/>
        </w:rPr>
        <w:t xml:space="preserve">850° </w:t>
      </w:r>
      <w:proofErr w:type="spellStart"/>
      <w:r w:rsidRPr="00C76D6B">
        <w:rPr>
          <w:rFonts w:ascii="Times New Roman" w:hAnsi="Times New Roman" w:cs="Times New Roman"/>
          <w:b/>
          <w:bCs/>
          <w:i/>
          <w:iCs/>
          <w:sz w:val="24"/>
          <w:szCs w:val="24"/>
        </w:rPr>
        <w:t>Handwerklicher</w:t>
      </w:r>
      <w:proofErr w:type="spellEnd"/>
      <w:r w:rsidRPr="00C76D6B">
        <w:rPr>
          <w:rFonts w:ascii="Times New Roman" w:hAnsi="Times New Roman" w:cs="Times New Roman"/>
          <w:b/>
          <w:bCs/>
          <w:i/>
          <w:iCs/>
          <w:sz w:val="24"/>
          <w:szCs w:val="24"/>
        </w:rPr>
        <w:t xml:space="preserve"> </w:t>
      </w:r>
      <w:proofErr w:type="spellStart"/>
      <w:r w:rsidRPr="00C76D6B">
        <w:rPr>
          <w:rFonts w:ascii="Times New Roman" w:hAnsi="Times New Roman" w:cs="Times New Roman"/>
          <w:b/>
          <w:bCs/>
          <w:i/>
          <w:iCs/>
          <w:sz w:val="24"/>
          <w:szCs w:val="24"/>
        </w:rPr>
        <w:t>Grundofen</w:t>
      </w:r>
      <w:proofErr w:type="spellEnd"/>
      <w:r w:rsidRPr="00C76D6B">
        <w:rPr>
          <w:rFonts w:ascii="Times New Roman" w:hAnsi="Times New Roman" w:cs="Times New Roman"/>
          <w:b/>
          <w:bCs/>
          <w:i/>
          <w:iCs/>
          <w:sz w:val="24"/>
          <w:szCs w:val="24"/>
        </w:rPr>
        <w:t xml:space="preserve"> </w:t>
      </w:r>
      <w:proofErr w:type="spellStart"/>
      <w:r w:rsidRPr="00C76D6B">
        <w:rPr>
          <w:rFonts w:ascii="Times New Roman" w:hAnsi="Times New Roman" w:cs="Times New Roman"/>
          <w:b/>
          <w:bCs/>
          <w:i/>
          <w:iCs/>
          <w:sz w:val="24"/>
          <w:szCs w:val="24"/>
        </w:rPr>
        <w:t>e.V.</w:t>
      </w:r>
      <w:proofErr w:type="spellEnd"/>
      <w:r w:rsidRPr="00C76D6B">
        <w:rPr>
          <w:rFonts w:ascii="Times New Roman" w:hAnsi="Times New Roman" w:cs="Times New Roman"/>
          <w:b/>
          <w:bCs/>
          <w:sz w:val="24"/>
          <w:szCs w:val="24"/>
        </w:rPr>
        <w:t xml:space="preserve"> provides a crucial warning for Defra regarding the 2026 Consultation. Their position paper details the danger of the "Eco-label" illusion:</w:t>
      </w:r>
    </w:p>
    <w:p w14:paraId="44C5512C" w14:textId="77777777" w:rsidR="00C76D6B" w:rsidRPr="00C76D6B" w:rsidRDefault="00C76D6B" w:rsidP="00C76D6B">
      <w:pPr>
        <w:numPr>
          <w:ilvl w:val="0"/>
          <w:numId w:val="36"/>
        </w:numPr>
        <w:rPr>
          <w:rFonts w:ascii="Times New Roman" w:hAnsi="Times New Roman" w:cs="Times New Roman"/>
          <w:b/>
          <w:bCs/>
          <w:sz w:val="24"/>
          <w:szCs w:val="24"/>
        </w:rPr>
      </w:pPr>
      <w:r w:rsidRPr="00C76D6B">
        <w:rPr>
          <w:rFonts w:ascii="Times New Roman" w:hAnsi="Times New Roman" w:cs="Times New Roman"/>
          <w:b/>
          <w:bCs/>
          <w:sz w:val="24"/>
          <w:szCs w:val="24"/>
        </w:rPr>
        <w:t xml:space="preserve">Lab vs. Reality: Type-testing for standard stoves (like the UK’s proposed 1 g/h limit or Germany's 1. </w:t>
      </w:r>
      <w:proofErr w:type="spellStart"/>
      <w:r w:rsidRPr="00C76D6B">
        <w:rPr>
          <w:rFonts w:ascii="Times New Roman" w:hAnsi="Times New Roman" w:cs="Times New Roman"/>
          <w:b/>
          <w:bCs/>
          <w:sz w:val="24"/>
          <w:szCs w:val="24"/>
        </w:rPr>
        <w:t>BImSchV</w:t>
      </w:r>
      <w:proofErr w:type="spellEnd"/>
      <w:r w:rsidRPr="00C76D6B">
        <w:rPr>
          <w:rFonts w:ascii="Times New Roman" w:hAnsi="Times New Roman" w:cs="Times New Roman"/>
          <w:b/>
          <w:bCs/>
          <w:sz w:val="24"/>
          <w:szCs w:val="24"/>
        </w:rPr>
        <w:t xml:space="preserve">) is conducted under best-case scenarios with perfectly seasoned wood, exact drafts, and expert operators. </w:t>
      </w:r>
      <w:proofErr w:type="gramStart"/>
      <w:r w:rsidRPr="00C76D6B">
        <w:rPr>
          <w:rFonts w:ascii="Times New Roman" w:hAnsi="Times New Roman" w:cs="Times New Roman"/>
          <w:b/>
          <w:bCs/>
          <w:sz w:val="24"/>
          <w:szCs w:val="24"/>
        </w:rPr>
        <w:t>In reality, user</w:t>
      </w:r>
      <w:proofErr w:type="gramEnd"/>
      <w:r w:rsidRPr="00C76D6B">
        <w:rPr>
          <w:rFonts w:ascii="Times New Roman" w:hAnsi="Times New Roman" w:cs="Times New Roman"/>
          <w:b/>
          <w:bCs/>
          <w:sz w:val="24"/>
          <w:szCs w:val="24"/>
        </w:rPr>
        <w:t xml:space="preserve"> error (damping down the air supply) causes PM emissions to skyrocket.</w:t>
      </w:r>
    </w:p>
    <w:p w14:paraId="60C7E86A" w14:textId="77777777" w:rsidR="00C76D6B" w:rsidRPr="00C76D6B" w:rsidRDefault="00C76D6B" w:rsidP="00C76D6B">
      <w:pPr>
        <w:numPr>
          <w:ilvl w:val="0"/>
          <w:numId w:val="36"/>
        </w:numPr>
        <w:rPr>
          <w:rFonts w:ascii="Times New Roman" w:hAnsi="Times New Roman" w:cs="Times New Roman"/>
          <w:b/>
          <w:bCs/>
          <w:sz w:val="24"/>
          <w:szCs w:val="24"/>
        </w:rPr>
      </w:pPr>
      <w:r w:rsidRPr="00C76D6B">
        <w:rPr>
          <w:rFonts w:ascii="Times New Roman" w:hAnsi="Times New Roman" w:cs="Times New Roman"/>
          <w:b/>
          <w:bCs/>
          <w:sz w:val="24"/>
          <w:szCs w:val="24"/>
        </w:rPr>
        <w:t xml:space="preserve">The </w:t>
      </w:r>
      <w:proofErr w:type="spellStart"/>
      <w:r w:rsidRPr="00C76D6B">
        <w:rPr>
          <w:rFonts w:ascii="Times New Roman" w:hAnsi="Times New Roman" w:cs="Times New Roman"/>
          <w:b/>
          <w:bCs/>
          <w:sz w:val="24"/>
          <w:szCs w:val="24"/>
        </w:rPr>
        <w:t>Grundofen</w:t>
      </w:r>
      <w:proofErr w:type="spellEnd"/>
      <w:r w:rsidRPr="00C76D6B">
        <w:rPr>
          <w:rFonts w:ascii="Times New Roman" w:hAnsi="Times New Roman" w:cs="Times New Roman"/>
          <w:b/>
          <w:bCs/>
          <w:sz w:val="24"/>
          <w:szCs w:val="24"/>
        </w:rPr>
        <w:t xml:space="preserve"> Solution: An artisanal masonry heater removes user error. The user cannot "turn down" the air supply to make the fire burn longer. The fire burns at maximum oxygen and maximum turbulence (&gt;850°C), storing the energy passively. Therefore, the </w:t>
      </w:r>
      <w:r w:rsidRPr="00C76D6B">
        <w:rPr>
          <w:rFonts w:ascii="Times New Roman" w:hAnsi="Times New Roman" w:cs="Times New Roman"/>
          <w:b/>
          <w:bCs/>
          <w:i/>
          <w:iCs/>
          <w:sz w:val="24"/>
          <w:szCs w:val="24"/>
        </w:rPr>
        <w:t>real-world</w:t>
      </w:r>
      <w:r w:rsidRPr="00C76D6B">
        <w:rPr>
          <w:rFonts w:ascii="Times New Roman" w:hAnsi="Times New Roman" w:cs="Times New Roman"/>
          <w:b/>
          <w:bCs/>
          <w:sz w:val="24"/>
          <w:szCs w:val="24"/>
        </w:rPr>
        <w:t xml:space="preserve"> emissions of a masonry heater are vastly lower than the </w:t>
      </w:r>
      <w:r w:rsidRPr="00C76D6B">
        <w:rPr>
          <w:rFonts w:ascii="Times New Roman" w:hAnsi="Times New Roman" w:cs="Times New Roman"/>
          <w:b/>
          <w:bCs/>
          <w:i/>
          <w:iCs/>
          <w:sz w:val="24"/>
          <w:szCs w:val="24"/>
        </w:rPr>
        <w:t>real-world</w:t>
      </w:r>
      <w:r w:rsidRPr="00C76D6B">
        <w:rPr>
          <w:rFonts w:ascii="Times New Roman" w:hAnsi="Times New Roman" w:cs="Times New Roman"/>
          <w:b/>
          <w:bCs/>
          <w:sz w:val="24"/>
          <w:szCs w:val="24"/>
        </w:rPr>
        <w:t xml:space="preserve"> emissions of an Ecodesign stove, even if both pass laboratory tests.</w:t>
      </w:r>
    </w:p>
    <w:p w14:paraId="702C05C5" w14:textId="77777777" w:rsidR="00C76D6B" w:rsidRPr="00C76D6B" w:rsidRDefault="00000000" w:rsidP="00C76D6B">
      <w:pPr>
        <w:rPr>
          <w:rFonts w:ascii="Times New Roman" w:hAnsi="Times New Roman" w:cs="Times New Roman"/>
          <w:b/>
          <w:bCs/>
          <w:sz w:val="24"/>
          <w:szCs w:val="24"/>
        </w:rPr>
      </w:pPr>
      <w:r>
        <w:rPr>
          <w:rFonts w:ascii="Times New Roman" w:hAnsi="Times New Roman" w:cs="Times New Roman"/>
          <w:b/>
          <w:bCs/>
          <w:sz w:val="24"/>
          <w:szCs w:val="24"/>
        </w:rPr>
        <w:pict w14:anchorId="4ECABA55">
          <v:rect id="_x0000_i1033" style="width:0;height:1.5pt" o:hralign="center" o:hrstd="t" o:hr="t" fillcolor="#a0a0a0" stroked="f"/>
        </w:pict>
      </w:r>
    </w:p>
    <w:p w14:paraId="63E6398B"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PART 9: FINAL STATUTORY RECOMMENDATIONS FOR DEFRA (2026)</w:t>
      </w:r>
    </w:p>
    <w:p w14:paraId="123A87C1"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 xml:space="preserve">To meet the UK's Air Quality targets (a 1.08 </w:t>
      </w:r>
      <w:proofErr w:type="spellStart"/>
      <w:r w:rsidRPr="00C76D6B">
        <w:rPr>
          <w:rFonts w:ascii="Times New Roman" w:hAnsi="Times New Roman" w:cs="Times New Roman"/>
          <w:b/>
          <w:bCs/>
          <w:sz w:val="24"/>
          <w:szCs w:val="24"/>
        </w:rPr>
        <w:t>kilotonne</w:t>
      </w:r>
      <w:proofErr w:type="spellEnd"/>
      <w:r w:rsidRPr="00C76D6B">
        <w:rPr>
          <w:rFonts w:ascii="Times New Roman" w:hAnsi="Times New Roman" w:cs="Times New Roman"/>
          <w:b/>
          <w:bCs/>
          <w:sz w:val="24"/>
          <w:szCs w:val="24"/>
        </w:rPr>
        <w:t xml:space="preserve"> abatement of $PM</w:t>
      </w:r>
      <w:proofErr w:type="gramStart"/>
      <w:r w:rsidRPr="00C76D6B">
        <w:rPr>
          <w:rFonts w:ascii="Times New Roman" w:hAnsi="Times New Roman" w:cs="Times New Roman"/>
          <w:b/>
          <w:bCs/>
          <w:sz w:val="24"/>
          <w:szCs w:val="24"/>
        </w:rPr>
        <w:t>_{2.5}$</w:t>
      </w:r>
      <w:proofErr w:type="gramEnd"/>
      <w:r w:rsidRPr="00C76D6B">
        <w:rPr>
          <w:rFonts w:ascii="Times New Roman" w:hAnsi="Times New Roman" w:cs="Times New Roman"/>
          <w:b/>
          <w:bCs/>
          <w:sz w:val="24"/>
          <w:szCs w:val="24"/>
        </w:rPr>
        <w:t xml:space="preserve"> by 2036) while supporting sustainable, low-carbon domestic heating, Defra must act on the following recommendations before the closure of the 2026 Consultation:</w:t>
      </w:r>
    </w:p>
    <w:p w14:paraId="6A76AD0F" w14:textId="77777777" w:rsidR="00C76D6B" w:rsidRPr="00C76D6B" w:rsidRDefault="00C76D6B" w:rsidP="00C76D6B">
      <w:pPr>
        <w:numPr>
          <w:ilvl w:val="0"/>
          <w:numId w:val="37"/>
        </w:numPr>
        <w:rPr>
          <w:rFonts w:ascii="Times New Roman" w:hAnsi="Times New Roman" w:cs="Times New Roman"/>
          <w:b/>
          <w:bCs/>
          <w:sz w:val="24"/>
          <w:szCs w:val="24"/>
        </w:rPr>
      </w:pPr>
      <w:r w:rsidRPr="00C76D6B">
        <w:rPr>
          <w:rFonts w:ascii="Times New Roman" w:hAnsi="Times New Roman" w:cs="Times New Roman"/>
          <w:b/>
          <w:bCs/>
          <w:sz w:val="24"/>
          <w:szCs w:val="24"/>
        </w:rPr>
        <w:t xml:space="preserve">Acknowledge Historic Precedent: Publicly acknowledge that multi-channel, high-mass masonry heaters have already been tested and exempted (Ref: </w:t>
      </w:r>
      <w:r w:rsidRPr="00C76D6B">
        <w:rPr>
          <w:rFonts w:ascii="Times New Roman" w:hAnsi="Times New Roman" w:cs="Times New Roman"/>
          <w:b/>
          <w:bCs/>
          <w:i/>
          <w:iCs/>
          <w:sz w:val="24"/>
          <w:szCs w:val="24"/>
        </w:rPr>
        <w:t xml:space="preserve">Defra </w:t>
      </w:r>
      <w:r w:rsidRPr="00C76D6B">
        <w:rPr>
          <w:rFonts w:ascii="Times New Roman" w:hAnsi="Times New Roman" w:cs="Times New Roman"/>
          <w:b/>
          <w:bCs/>
          <w:i/>
          <w:iCs/>
          <w:sz w:val="24"/>
          <w:szCs w:val="24"/>
        </w:rPr>
        <w:lastRenderedPageBreak/>
        <w:t>Exemption No. 554, Jansen Design / Camina</w:t>
      </w:r>
      <w:r w:rsidRPr="00C76D6B">
        <w:rPr>
          <w:rFonts w:ascii="Times New Roman" w:hAnsi="Times New Roman" w:cs="Times New Roman"/>
          <w:b/>
          <w:bCs/>
          <w:sz w:val="24"/>
          <w:szCs w:val="24"/>
        </w:rPr>
        <w:t>), proving their viability and cleanliness in UK Smoke Control Areas.</w:t>
      </w:r>
    </w:p>
    <w:p w14:paraId="65DA1042" w14:textId="77777777" w:rsidR="00C76D6B" w:rsidRPr="00C76D6B" w:rsidRDefault="00C76D6B" w:rsidP="00C76D6B">
      <w:pPr>
        <w:numPr>
          <w:ilvl w:val="0"/>
          <w:numId w:val="37"/>
        </w:numPr>
        <w:rPr>
          <w:rFonts w:ascii="Times New Roman" w:hAnsi="Times New Roman" w:cs="Times New Roman"/>
          <w:b/>
          <w:bCs/>
          <w:sz w:val="24"/>
          <w:szCs w:val="24"/>
        </w:rPr>
      </w:pPr>
      <w:r w:rsidRPr="00C76D6B">
        <w:rPr>
          <w:rFonts w:ascii="Times New Roman" w:hAnsi="Times New Roman" w:cs="Times New Roman"/>
          <w:b/>
          <w:bCs/>
          <w:sz w:val="24"/>
          <w:szCs w:val="24"/>
        </w:rPr>
        <w:t>Transition to mg/MJ for High-Mass Units: Replace the flawed 1 g/h mass-rate limit with an energy-normalized mg/MJ concentration limit for all high-efficiency, slow heat release appliances (as defined under BS EN 15250).</w:t>
      </w:r>
    </w:p>
    <w:p w14:paraId="79AE9ED2" w14:textId="77777777" w:rsidR="00C76D6B" w:rsidRPr="00C76D6B" w:rsidRDefault="00C76D6B" w:rsidP="00C76D6B">
      <w:pPr>
        <w:numPr>
          <w:ilvl w:val="0"/>
          <w:numId w:val="37"/>
        </w:numPr>
        <w:rPr>
          <w:rFonts w:ascii="Times New Roman" w:hAnsi="Times New Roman" w:cs="Times New Roman"/>
          <w:b/>
          <w:bCs/>
          <w:sz w:val="24"/>
          <w:szCs w:val="24"/>
        </w:rPr>
      </w:pPr>
      <w:r w:rsidRPr="00C76D6B">
        <w:rPr>
          <w:rFonts w:ascii="Times New Roman" w:hAnsi="Times New Roman" w:cs="Times New Roman"/>
          <w:b/>
          <w:bCs/>
          <w:sz w:val="24"/>
          <w:szCs w:val="24"/>
        </w:rPr>
        <w:t>Approve Calculation-Based Certification: Adopt BS EN 15544:2023 as an officially sanctioned calculation method. This provides a zero-cost regulatory pathway for artisanal builders to legally install bespoke, ultra-clean heaters without prohibitive laboratory type-testing.</w:t>
      </w:r>
    </w:p>
    <w:p w14:paraId="3B0FDF3E" w14:textId="77777777" w:rsidR="00C76D6B" w:rsidRPr="00C76D6B" w:rsidRDefault="00C76D6B" w:rsidP="00C76D6B">
      <w:pPr>
        <w:numPr>
          <w:ilvl w:val="0"/>
          <w:numId w:val="37"/>
        </w:numPr>
        <w:rPr>
          <w:rFonts w:ascii="Times New Roman" w:hAnsi="Times New Roman" w:cs="Times New Roman"/>
          <w:b/>
          <w:bCs/>
          <w:sz w:val="24"/>
          <w:szCs w:val="24"/>
        </w:rPr>
      </w:pPr>
      <w:r w:rsidRPr="00C76D6B">
        <w:rPr>
          <w:rFonts w:ascii="Times New Roman" w:hAnsi="Times New Roman" w:cs="Times New Roman"/>
          <w:b/>
          <w:bCs/>
          <w:sz w:val="24"/>
          <w:szCs w:val="24"/>
        </w:rPr>
        <w:t>Differentiate Appliance Categories: Explicitly distinguish "Slow Heat Release Appliances" (thermal mass) from "Continuous Release Appliances" (metal stoves) within the Clean Air Act amendments, aligning the UK with Sweden (</w:t>
      </w:r>
      <w:proofErr w:type="spellStart"/>
      <w:r w:rsidRPr="00C76D6B">
        <w:rPr>
          <w:rFonts w:ascii="Times New Roman" w:hAnsi="Times New Roman" w:cs="Times New Roman"/>
          <w:b/>
          <w:bCs/>
          <w:sz w:val="24"/>
          <w:szCs w:val="24"/>
        </w:rPr>
        <w:t>Boverket</w:t>
      </w:r>
      <w:proofErr w:type="spellEnd"/>
      <w:r w:rsidRPr="00C76D6B">
        <w:rPr>
          <w:rFonts w:ascii="Times New Roman" w:hAnsi="Times New Roman" w:cs="Times New Roman"/>
          <w:b/>
          <w:bCs/>
          <w:sz w:val="24"/>
          <w:szCs w:val="24"/>
        </w:rPr>
        <w:t>), the US (EPA), and the broader European Ecodesign directive.</w:t>
      </w:r>
    </w:p>
    <w:p w14:paraId="6AF4183A" w14:textId="77777777" w:rsidR="00C76D6B" w:rsidRPr="00C76D6B" w:rsidRDefault="00000000" w:rsidP="00C76D6B">
      <w:pPr>
        <w:rPr>
          <w:rFonts w:ascii="Times New Roman" w:hAnsi="Times New Roman" w:cs="Times New Roman"/>
          <w:b/>
          <w:bCs/>
          <w:sz w:val="24"/>
          <w:szCs w:val="24"/>
        </w:rPr>
      </w:pPr>
      <w:r>
        <w:rPr>
          <w:rFonts w:ascii="Times New Roman" w:hAnsi="Times New Roman" w:cs="Times New Roman"/>
          <w:b/>
          <w:bCs/>
          <w:sz w:val="24"/>
          <w:szCs w:val="24"/>
        </w:rPr>
        <w:pict w14:anchorId="525B29FE">
          <v:rect id="_x0000_i1034" style="width:0;height:1.5pt" o:hralign="center" o:hrstd="t" o:hr="t" fillcolor="#a0a0a0" stroked="f"/>
        </w:pict>
      </w:r>
    </w:p>
    <w:p w14:paraId="31524695"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PART 10: CONCLUSION</w:t>
      </w:r>
    </w:p>
    <w:p w14:paraId="3C6A8FFB"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 xml:space="preserve">The evidence is unassailable, peer-reviewed, and globally validated. Masonry heaters—whether the Swedish </w:t>
      </w:r>
      <w:proofErr w:type="spellStart"/>
      <w:r w:rsidRPr="00C76D6B">
        <w:rPr>
          <w:rFonts w:ascii="Times New Roman" w:hAnsi="Times New Roman" w:cs="Times New Roman"/>
          <w:b/>
          <w:bCs/>
          <w:sz w:val="24"/>
          <w:szCs w:val="24"/>
        </w:rPr>
        <w:t>Kakelugn</w:t>
      </w:r>
      <w:proofErr w:type="spellEnd"/>
      <w:r w:rsidRPr="00C76D6B">
        <w:rPr>
          <w:rFonts w:ascii="Times New Roman" w:hAnsi="Times New Roman" w:cs="Times New Roman"/>
          <w:b/>
          <w:bCs/>
          <w:sz w:val="24"/>
          <w:szCs w:val="24"/>
        </w:rPr>
        <w:t xml:space="preserve">, the Austrian </w:t>
      </w:r>
      <w:proofErr w:type="spellStart"/>
      <w:r w:rsidRPr="00C76D6B">
        <w:rPr>
          <w:rFonts w:ascii="Times New Roman" w:hAnsi="Times New Roman" w:cs="Times New Roman"/>
          <w:b/>
          <w:bCs/>
          <w:sz w:val="24"/>
          <w:szCs w:val="24"/>
        </w:rPr>
        <w:t>UmweltPlus</w:t>
      </w:r>
      <w:proofErr w:type="spellEnd"/>
      <w:r w:rsidRPr="00C76D6B">
        <w:rPr>
          <w:rFonts w:ascii="Times New Roman" w:hAnsi="Times New Roman" w:cs="Times New Roman"/>
          <w:b/>
          <w:bCs/>
          <w:sz w:val="24"/>
          <w:szCs w:val="24"/>
        </w:rPr>
        <w:t xml:space="preserve">, or the German </w:t>
      </w:r>
      <w:proofErr w:type="spellStart"/>
      <w:r w:rsidRPr="00C76D6B">
        <w:rPr>
          <w:rFonts w:ascii="Times New Roman" w:hAnsi="Times New Roman" w:cs="Times New Roman"/>
          <w:b/>
          <w:bCs/>
          <w:sz w:val="24"/>
          <w:szCs w:val="24"/>
        </w:rPr>
        <w:t>Grundofen</w:t>
      </w:r>
      <w:proofErr w:type="spellEnd"/>
      <w:r w:rsidRPr="00C76D6B">
        <w:rPr>
          <w:rFonts w:ascii="Times New Roman" w:hAnsi="Times New Roman" w:cs="Times New Roman"/>
          <w:b/>
          <w:bCs/>
          <w:sz w:val="24"/>
          <w:szCs w:val="24"/>
        </w:rPr>
        <w:t>—represent the pinnacle of clean solid-fuel combustion. The UK's current proposal to enforce a 1 g/h limit utilizing 1960s-era testing methodologies (PD 6434 / BS 3841) constitutes a regulatory failure that will inadvertently ban the very technology capable of solving the domestic wood-smoke crisis.</w:t>
      </w:r>
    </w:p>
    <w:p w14:paraId="5F225F75"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By formally adopting the European Calculation-Based Framework (BS EN 15544), recognising the distinct operational physics of thermal mass (BS EN 15250), and transitioning to energy-normalized metrics (mg/MJ), the UK Government can align itself with global best practices, honour a UNESCO-recognized cultural heritage, and drastically reduce urban $PM_{2.5}$ emissions.</w:t>
      </w:r>
    </w:p>
    <w:p w14:paraId="44B4EC16" w14:textId="77777777" w:rsidR="00C76D6B" w:rsidRPr="00C76D6B" w:rsidRDefault="00000000" w:rsidP="00C76D6B">
      <w:pPr>
        <w:rPr>
          <w:rFonts w:ascii="Times New Roman" w:hAnsi="Times New Roman" w:cs="Times New Roman"/>
          <w:b/>
          <w:bCs/>
          <w:sz w:val="24"/>
          <w:szCs w:val="24"/>
        </w:rPr>
      </w:pPr>
      <w:r>
        <w:rPr>
          <w:rFonts w:ascii="Times New Roman" w:hAnsi="Times New Roman" w:cs="Times New Roman"/>
          <w:b/>
          <w:bCs/>
          <w:sz w:val="24"/>
          <w:szCs w:val="24"/>
        </w:rPr>
        <w:pict w14:anchorId="0E66CA52">
          <v:rect id="_x0000_i1035" style="width:0;height:1.5pt" o:hralign="center" o:hrstd="t" o:hr="t" fillcolor="#a0a0a0" stroked="f"/>
        </w:pict>
      </w:r>
    </w:p>
    <w:p w14:paraId="6BD1E700" w14:textId="77777777" w:rsidR="00C76D6B" w:rsidRPr="00C76D6B" w:rsidRDefault="00C76D6B" w:rsidP="00C76D6B">
      <w:pPr>
        <w:rPr>
          <w:rFonts w:ascii="Times New Roman" w:hAnsi="Times New Roman" w:cs="Times New Roman"/>
          <w:b/>
          <w:bCs/>
          <w:sz w:val="24"/>
          <w:szCs w:val="24"/>
        </w:rPr>
      </w:pPr>
      <w:r w:rsidRPr="00C76D6B">
        <w:rPr>
          <w:rFonts w:ascii="Times New Roman" w:hAnsi="Times New Roman" w:cs="Times New Roman"/>
          <w:b/>
          <w:bCs/>
          <w:sz w:val="24"/>
          <w:szCs w:val="24"/>
        </w:rPr>
        <w:t>[END OF EXECUTIVE DOSSIER]</w:t>
      </w:r>
    </w:p>
    <w:p w14:paraId="09FCF8B6" w14:textId="77777777" w:rsidR="00C76D6B" w:rsidRDefault="00C76D6B" w:rsidP="00A039CF">
      <w:pPr>
        <w:rPr>
          <w:rFonts w:ascii="Times New Roman" w:hAnsi="Times New Roman" w:cs="Times New Roman"/>
          <w:b/>
          <w:bCs/>
          <w:sz w:val="24"/>
          <w:szCs w:val="24"/>
        </w:rPr>
      </w:pPr>
    </w:p>
    <w:p w14:paraId="09F70128" w14:textId="77777777" w:rsidR="00C76D6B" w:rsidRDefault="00C76D6B" w:rsidP="00A039CF">
      <w:pPr>
        <w:rPr>
          <w:rFonts w:ascii="Times New Roman" w:hAnsi="Times New Roman" w:cs="Times New Roman"/>
          <w:b/>
          <w:bCs/>
          <w:sz w:val="24"/>
          <w:szCs w:val="24"/>
        </w:rPr>
      </w:pPr>
    </w:p>
    <w:sectPr w:rsidR="00C76D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C0D"/>
    <w:multiLevelType w:val="multilevel"/>
    <w:tmpl w:val="F0DE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24E39"/>
    <w:multiLevelType w:val="multilevel"/>
    <w:tmpl w:val="6658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5239B"/>
    <w:multiLevelType w:val="multilevel"/>
    <w:tmpl w:val="5510B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7205C"/>
    <w:multiLevelType w:val="multilevel"/>
    <w:tmpl w:val="4460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B7A53"/>
    <w:multiLevelType w:val="multilevel"/>
    <w:tmpl w:val="099A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559FC"/>
    <w:multiLevelType w:val="multilevel"/>
    <w:tmpl w:val="D208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F67C4"/>
    <w:multiLevelType w:val="multilevel"/>
    <w:tmpl w:val="183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35A5C"/>
    <w:multiLevelType w:val="multilevel"/>
    <w:tmpl w:val="AE3A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D6217"/>
    <w:multiLevelType w:val="multilevel"/>
    <w:tmpl w:val="9E44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76CC5"/>
    <w:multiLevelType w:val="multilevel"/>
    <w:tmpl w:val="03AE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36DFE"/>
    <w:multiLevelType w:val="multilevel"/>
    <w:tmpl w:val="0FE40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037273"/>
    <w:multiLevelType w:val="multilevel"/>
    <w:tmpl w:val="C6C87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AE13CC"/>
    <w:multiLevelType w:val="multilevel"/>
    <w:tmpl w:val="5A98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73630"/>
    <w:multiLevelType w:val="multilevel"/>
    <w:tmpl w:val="12AC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520F4"/>
    <w:multiLevelType w:val="multilevel"/>
    <w:tmpl w:val="D0EA2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C5CA8"/>
    <w:multiLevelType w:val="multilevel"/>
    <w:tmpl w:val="BC6C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C1441"/>
    <w:multiLevelType w:val="multilevel"/>
    <w:tmpl w:val="57CE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6129B"/>
    <w:multiLevelType w:val="multilevel"/>
    <w:tmpl w:val="0D3E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70B55"/>
    <w:multiLevelType w:val="multilevel"/>
    <w:tmpl w:val="D3329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8333FB"/>
    <w:multiLevelType w:val="multilevel"/>
    <w:tmpl w:val="A89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05094"/>
    <w:multiLevelType w:val="multilevel"/>
    <w:tmpl w:val="FA2C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93517"/>
    <w:multiLevelType w:val="multilevel"/>
    <w:tmpl w:val="DBEA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487874"/>
    <w:multiLevelType w:val="multilevel"/>
    <w:tmpl w:val="B8B4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91A88"/>
    <w:multiLevelType w:val="multilevel"/>
    <w:tmpl w:val="1488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64DE0"/>
    <w:multiLevelType w:val="multilevel"/>
    <w:tmpl w:val="AC10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DC5B81"/>
    <w:multiLevelType w:val="multilevel"/>
    <w:tmpl w:val="66F4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A7F89"/>
    <w:multiLevelType w:val="multilevel"/>
    <w:tmpl w:val="E7E0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5003CD"/>
    <w:multiLevelType w:val="multilevel"/>
    <w:tmpl w:val="1254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936DD0"/>
    <w:multiLevelType w:val="multilevel"/>
    <w:tmpl w:val="2D68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A42C9"/>
    <w:multiLevelType w:val="multilevel"/>
    <w:tmpl w:val="BF34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73141"/>
    <w:multiLevelType w:val="multilevel"/>
    <w:tmpl w:val="9ADC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87277"/>
    <w:multiLevelType w:val="multilevel"/>
    <w:tmpl w:val="388C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B453D"/>
    <w:multiLevelType w:val="multilevel"/>
    <w:tmpl w:val="DBDE6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532DB"/>
    <w:multiLevelType w:val="multilevel"/>
    <w:tmpl w:val="5C8A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E43C83"/>
    <w:multiLevelType w:val="multilevel"/>
    <w:tmpl w:val="71AE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657D51"/>
    <w:multiLevelType w:val="multilevel"/>
    <w:tmpl w:val="9A36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C7FE2"/>
    <w:multiLevelType w:val="multilevel"/>
    <w:tmpl w:val="95AA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68771">
    <w:abstractNumId w:val="31"/>
  </w:num>
  <w:num w:numId="2" w16cid:durableId="876621644">
    <w:abstractNumId w:val="30"/>
  </w:num>
  <w:num w:numId="3" w16cid:durableId="455761603">
    <w:abstractNumId w:val="13"/>
  </w:num>
  <w:num w:numId="4" w16cid:durableId="1328754834">
    <w:abstractNumId w:val="12"/>
  </w:num>
  <w:num w:numId="5" w16cid:durableId="12073725">
    <w:abstractNumId w:val="4"/>
  </w:num>
  <w:num w:numId="6" w16cid:durableId="1716812234">
    <w:abstractNumId w:val="19"/>
  </w:num>
  <w:num w:numId="7" w16cid:durableId="1793864004">
    <w:abstractNumId w:val="2"/>
  </w:num>
  <w:num w:numId="8" w16cid:durableId="72356557">
    <w:abstractNumId w:val="21"/>
  </w:num>
  <w:num w:numId="9" w16cid:durableId="1489203018">
    <w:abstractNumId w:val="23"/>
  </w:num>
  <w:num w:numId="10" w16cid:durableId="354697782">
    <w:abstractNumId w:val="15"/>
  </w:num>
  <w:num w:numId="11" w16cid:durableId="1500003892">
    <w:abstractNumId w:val="25"/>
  </w:num>
  <w:num w:numId="12" w16cid:durableId="681250296">
    <w:abstractNumId w:val="5"/>
  </w:num>
  <w:num w:numId="13" w16cid:durableId="1108160605">
    <w:abstractNumId w:val="1"/>
  </w:num>
  <w:num w:numId="14" w16cid:durableId="371269002">
    <w:abstractNumId w:val="8"/>
  </w:num>
  <w:num w:numId="15" w16cid:durableId="2076511687">
    <w:abstractNumId w:val="29"/>
  </w:num>
  <w:num w:numId="16" w16cid:durableId="210194472">
    <w:abstractNumId w:val="18"/>
  </w:num>
  <w:num w:numId="17" w16cid:durableId="1405645256">
    <w:abstractNumId w:val="33"/>
  </w:num>
  <w:num w:numId="18" w16cid:durableId="1169712851">
    <w:abstractNumId w:val="24"/>
  </w:num>
  <w:num w:numId="19" w16cid:durableId="621695457">
    <w:abstractNumId w:val="28"/>
  </w:num>
  <w:num w:numId="20" w16cid:durableId="1651246551">
    <w:abstractNumId w:val="36"/>
  </w:num>
  <w:num w:numId="21" w16cid:durableId="1943955547">
    <w:abstractNumId w:val="14"/>
  </w:num>
  <w:num w:numId="22" w16cid:durableId="1747417157">
    <w:abstractNumId w:val="20"/>
  </w:num>
  <w:num w:numId="23" w16cid:durableId="1913271723">
    <w:abstractNumId w:val="22"/>
  </w:num>
  <w:num w:numId="24" w16cid:durableId="96414878">
    <w:abstractNumId w:val="11"/>
  </w:num>
  <w:num w:numId="25" w16cid:durableId="669793878">
    <w:abstractNumId w:val="27"/>
  </w:num>
  <w:num w:numId="26" w16cid:durableId="1346442003">
    <w:abstractNumId w:val="7"/>
  </w:num>
  <w:num w:numId="27" w16cid:durableId="1840079451">
    <w:abstractNumId w:val="34"/>
  </w:num>
  <w:num w:numId="28" w16cid:durableId="667098584">
    <w:abstractNumId w:val="35"/>
  </w:num>
  <w:num w:numId="29" w16cid:durableId="2076466517">
    <w:abstractNumId w:val="9"/>
  </w:num>
  <w:num w:numId="30" w16cid:durableId="971835960">
    <w:abstractNumId w:val="26"/>
  </w:num>
  <w:num w:numId="31" w16cid:durableId="1507744056">
    <w:abstractNumId w:val="17"/>
  </w:num>
  <w:num w:numId="32" w16cid:durableId="1164513163">
    <w:abstractNumId w:val="6"/>
  </w:num>
  <w:num w:numId="33" w16cid:durableId="127091401">
    <w:abstractNumId w:val="3"/>
  </w:num>
  <w:num w:numId="34" w16cid:durableId="514928528">
    <w:abstractNumId w:val="32"/>
  </w:num>
  <w:num w:numId="35" w16cid:durableId="1502814180">
    <w:abstractNumId w:val="10"/>
  </w:num>
  <w:num w:numId="36" w16cid:durableId="1619330828">
    <w:abstractNumId w:val="16"/>
  </w:num>
  <w:num w:numId="37" w16cid:durableId="1991129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9EC"/>
    <w:rsid w:val="001F5448"/>
    <w:rsid w:val="0020313C"/>
    <w:rsid w:val="002E629F"/>
    <w:rsid w:val="002F553F"/>
    <w:rsid w:val="003319E1"/>
    <w:rsid w:val="004F79EC"/>
    <w:rsid w:val="008C0334"/>
    <w:rsid w:val="00A039CF"/>
    <w:rsid w:val="00B960A3"/>
    <w:rsid w:val="00BB20DE"/>
    <w:rsid w:val="00C76D6B"/>
    <w:rsid w:val="00CA4CA5"/>
    <w:rsid w:val="00DE31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BA761"/>
  <w15:chartTrackingRefBased/>
  <w15:docId w15:val="{BD2E8200-83AE-4939-BDCB-A2A489CC2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9EC"/>
    <w:rPr>
      <w:rFonts w:eastAsiaTheme="majorEastAsia" w:cstheme="majorBidi"/>
      <w:color w:val="272727" w:themeColor="text1" w:themeTint="D8"/>
    </w:rPr>
  </w:style>
  <w:style w:type="paragraph" w:styleId="Title">
    <w:name w:val="Title"/>
    <w:basedOn w:val="Normal"/>
    <w:next w:val="Normal"/>
    <w:link w:val="TitleChar"/>
    <w:uiPriority w:val="10"/>
    <w:qFormat/>
    <w:rsid w:val="004F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9EC"/>
    <w:pPr>
      <w:spacing w:before="160"/>
      <w:jc w:val="center"/>
    </w:pPr>
    <w:rPr>
      <w:i/>
      <w:iCs/>
      <w:color w:val="404040" w:themeColor="text1" w:themeTint="BF"/>
    </w:rPr>
  </w:style>
  <w:style w:type="character" w:customStyle="1" w:styleId="QuoteChar">
    <w:name w:val="Quote Char"/>
    <w:basedOn w:val="DefaultParagraphFont"/>
    <w:link w:val="Quote"/>
    <w:uiPriority w:val="29"/>
    <w:rsid w:val="004F79EC"/>
    <w:rPr>
      <w:i/>
      <w:iCs/>
      <w:color w:val="404040" w:themeColor="text1" w:themeTint="BF"/>
    </w:rPr>
  </w:style>
  <w:style w:type="paragraph" w:styleId="ListParagraph">
    <w:name w:val="List Paragraph"/>
    <w:basedOn w:val="Normal"/>
    <w:uiPriority w:val="34"/>
    <w:qFormat/>
    <w:rsid w:val="004F79EC"/>
    <w:pPr>
      <w:ind w:left="720"/>
      <w:contextualSpacing/>
    </w:pPr>
  </w:style>
  <w:style w:type="character" w:styleId="IntenseEmphasis">
    <w:name w:val="Intense Emphasis"/>
    <w:basedOn w:val="DefaultParagraphFont"/>
    <w:uiPriority w:val="21"/>
    <w:qFormat/>
    <w:rsid w:val="004F79EC"/>
    <w:rPr>
      <w:i/>
      <w:iCs/>
      <w:color w:val="0F4761" w:themeColor="accent1" w:themeShade="BF"/>
    </w:rPr>
  </w:style>
  <w:style w:type="paragraph" w:styleId="IntenseQuote">
    <w:name w:val="Intense Quote"/>
    <w:basedOn w:val="Normal"/>
    <w:next w:val="Normal"/>
    <w:link w:val="IntenseQuoteChar"/>
    <w:uiPriority w:val="30"/>
    <w:qFormat/>
    <w:rsid w:val="004F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9EC"/>
    <w:rPr>
      <w:i/>
      <w:iCs/>
      <w:color w:val="0F4761" w:themeColor="accent1" w:themeShade="BF"/>
    </w:rPr>
  </w:style>
  <w:style w:type="character" w:styleId="IntenseReference">
    <w:name w:val="Intense Reference"/>
    <w:basedOn w:val="DefaultParagraphFont"/>
    <w:uiPriority w:val="32"/>
    <w:qFormat/>
    <w:rsid w:val="004F79EC"/>
    <w:rPr>
      <w:b/>
      <w:bCs/>
      <w:smallCaps/>
      <w:color w:val="0F4761" w:themeColor="accent1" w:themeShade="BF"/>
      <w:spacing w:val="5"/>
    </w:rPr>
  </w:style>
  <w:style w:type="character" w:styleId="Hyperlink">
    <w:name w:val="Hyperlink"/>
    <w:basedOn w:val="DefaultParagraphFont"/>
    <w:uiPriority w:val="99"/>
    <w:unhideWhenUsed/>
    <w:rsid w:val="003319E1"/>
    <w:rPr>
      <w:color w:val="467886" w:themeColor="hyperlink"/>
      <w:u w:val="single"/>
    </w:rPr>
  </w:style>
  <w:style w:type="character" w:styleId="UnresolvedMention">
    <w:name w:val="Unresolved Mention"/>
    <w:basedOn w:val="DefaultParagraphFont"/>
    <w:uiPriority w:val="99"/>
    <w:semiHidden/>
    <w:unhideWhenUsed/>
    <w:rsid w:val="003319E1"/>
    <w:rPr>
      <w:color w:val="605E5C"/>
      <w:shd w:val="clear" w:color="auto" w:fill="E1DFDD"/>
    </w:rPr>
  </w:style>
  <w:style w:type="character" w:styleId="FollowedHyperlink">
    <w:name w:val="FollowedHyperlink"/>
    <w:basedOn w:val="DefaultParagraphFont"/>
    <w:uiPriority w:val="99"/>
    <w:semiHidden/>
    <w:unhideWhenUsed/>
    <w:rsid w:val="003319E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2368</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Ruzicka</dc:creator>
  <cp:keywords/>
  <dc:description/>
  <cp:lastModifiedBy>Martin Ruzicka</cp:lastModifiedBy>
  <cp:revision>3</cp:revision>
  <dcterms:created xsi:type="dcterms:W3CDTF">2026-03-10T16:31:00Z</dcterms:created>
  <dcterms:modified xsi:type="dcterms:W3CDTF">2026-03-10T21:28:00Z</dcterms:modified>
</cp:coreProperties>
</file>