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43.png" ContentType="image/png"/>
  <Override PartName="/word/media/rId49.png" ContentType="image/png"/>
  <Override PartName="/word/media/rId46.png" ContentType="image/png"/>
  <Override PartName="/word/media/rId40.png" ContentType="image/png"/>
  <Override PartName="/word/media/rId73.png" ContentType="image/png"/>
  <Override PartName="/word/media/rId36.png" ContentType="image/png"/>
  <Override PartName="/word/media/rId52.png" ContentType="image/png"/>
  <Override PartName="/word/media/rId62.png" ContentType="image/png"/>
  <Override PartName="/word/media/rId65.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r>
        <w:tc>
          <w:tcPr/>
          <w:p>
            <w:pPr>
              <w:pStyle w:val="Compact"/>
              <w:jc w:val="left"/>
            </w:pPr>
            <w:r>
              <w:t xml:space="preserve">F-19</w:t>
            </w:r>
          </w:p>
        </w:tc>
        <w:tc>
          <w:tcPr/>
          <w:p>
            <w:pPr>
              <w:pStyle w:val="Compact"/>
              <w:jc w:val="left"/>
            </w:pPr>
            <w:r>
              <w:t xml:space="preserve">On-premises host is monitored, not just a source</w:t>
            </w:r>
          </w:p>
        </w:tc>
        <w:tc>
          <w:tcPr/>
          <w:p>
            <w:pPr>
              <w:pStyle w:val="Compact"/>
              <w:jc w:val="left"/>
            </w:pPr>
            <w:r>
              <w:t xml:space="preserve">Prometheus targets</w:t>
            </w:r>
          </w:p>
        </w:tc>
        <w:tc>
          <w:tcPr/>
          <w:p>
            <w:pPr>
              <w:pStyle w:val="Compact"/>
              <w:jc w:val="left"/>
            </w:pPr>
            <w:r>
              <w:t xml:space="preserve">corp-server scraped, appears in the estate view</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72" w:name="end-to-end-tests"/>
    <w:p>
      <w:pPr>
        <w:pStyle w:val="Heading1"/>
      </w:pPr>
      <w:r>
        <w:t xml:space="preserve">4. End-to-end tests</w:t>
      </w:r>
    </w:p>
    <w:bookmarkStart w:id="39"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drawing>
          <wp:inline>
            <wp:extent cx="4937760" cy="5098841"/>
            <wp:effectExtent b="0" l="0" r="0" t="0"/>
            <wp:docPr descr="" title="" id="28" name="Picture"/>
            <a:graphic>
              <a:graphicData uri="http://schemas.openxmlformats.org/drawingml/2006/picture">
                <pic:pic>
                  <pic:nvPicPr>
                    <pic:cNvPr descr="evidence/e01-bruteforce-test-output.png" id="29" name="Picture"/>
                    <pic:cNvPicPr>
                      <a:picLocks noChangeArrowheads="1" noChangeAspect="1"/>
                    </pic:cNvPicPr>
                  </pic:nvPicPr>
                  <pic:blipFill>
                    <a:blip r:embed="rId27"/>
                    <a:stretch>
                      <a:fillRect/>
                    </a:stretch>
                  </pic:blipFill>
                  <pic:spPr bwMode="auto">
                    <a:xfrm>
                      <a:off x="0" y="0"/>
                      <a:ext cx="4937760" cy="5098841"/>
                    </a:xfrm>
                    <a:prstGeom prst="rect">
                      <a:avLst/>
                    </a:prstGeom>
                    <a:noFill/>
                    <a:ln w="9525">
                      <a:noFill/>
                      <a:headEnd/>
                      <a:tailEnd/>
                    </a:ln>
                  </pic:spPr>
                </pic:pic>
              </a:graphicData>
            </a:graphic>
          </wp:inline>
        </w:drawing>
      </w:r>
    </w:p>
    <w:p>
      <w:pPr>
        <w:pStyle w:val="BodyText"/>
      </w:pPr>
      <w:r>
        <w:rPr>
          <w:iCs/>
          <w:i/>
        </w:rPr>
        <w:t xml:space="preserve">Figure 2: the scripted test. Five events submitted, the threshold met on the fifth, and a network ACL entry created. The verdict asserts on the presence of a DENY rule that did not exist before the run.</w:t>
      </w:r>
    </w:p>
    <w:p>
      <w:pPr>
        <w:pStyle w:val="BodyText"/>
      </w:pPr>
      <w:r>
        <w:drawing>
          <wp:inline>
            <wp:extent cx="5334000" cy="1637561"/>
            <wp:effectExtent b="0" l="0" r="0" t="0"/>
            <wp:docPr descr="" title="" id="31" name="Picture"/>
            <a:graphic>
              <a:graphicData uri="http://schemas.openxmlformats.org/drawingml/2006/picture">
                <pic:pic>
                  <pic:nvPicPr>
                    <pic:cNvPr descr="evidence/e02-nacl-before.png" id="32" name="Picture"/>
                    <pic:cNvPicPr>
                      <a:picLocks noChangeArrowheads="1" noChangeAspect="1"/>
                    </pic:cNvPicPr>
                  </pic:nvPicPr>
                  <pic:blipFill>
                    <a:blip r:embed="rId30"/>
                    <a:stretch>
                      <a:fillRect/>
                    </a:stretch>
                  </pic:blipFill>
                  <pic:spPr bwMode="auto">
                    <a:xfrm>
                      <a:off x="0" y="0"/>
                      <a:ext cx="5334000" cy="1637561"/>
                    </a:xfrm>
                    <a:prstGeom prst="rect">
                      <a:avLst/>
                    </a:prstGeom>
                    <a:noFill/>
                    <a:ln w="9525">
                      <a:noFill/>
                      <a:headEnd/>
                      <a:tailEnd/>
                    </a:ln>
                  </pic:spPr>
                </pic:pic>
              </a:graphicData>
            </a:graphic>
          </wp:inline>
        </w:drawing>
      </w:r>
    </w:p>
    <w:p>
      <w:pPr>
        <w:pStyle w:val="BodyText"/>
      </w:pPr>
      <w:r>
        <w:rPr>
          <w:iCs/>
          <w:i/>
        </w:rPr>
        <w:t xml:space="preserve">Figure 3: the platform network ACL before the test. Rule 100 permits all traffic; the asterisk entry is the implicit default deny.</w:t>
      </w:r>
    </w:p>
    <w:p>
      <w:pPr>
        <w:pStyle w:val="BodyText"/>
      </w:pPr>
      <w:r>
        <w:drawing>
          <wp:inline>
            <wp:extent cx="5334000" cy="1728611"/>
            <wp:effectExtent b="0" l="0" r="0" t="0"/>
            <wp:docPr descr="" title="" id="34" name="Picture"/>
            <a:graphic>
              <a:graphicData uri="http://schemas.openxmlformats.org/drawingml/2006/picture">
                <pic:pic>
                  <pic:nvPicPr>
                    <pic:cNvPr descr="evidence/e03-nacl-after.png" id="35" name="Picture"/>
                    <pic:cNvPicPr>
                      <a:picLocks noChangeArrowheads="1" noChangeAspect="1"/>
                    </pic:cNvPicPr>
                  </pic:nvPicPr>
                  <pic:blipFill>
                    <a:blip r:embed="rId33"/>
                    <a:stretch>
                      <a:fillRect/>
                    </a:stretch>
                  </pic:blipFill>
                  <pic:spPr bwMode="auto">
                    <a:xfrm>
                      <a:off x="0" y="0"/>
                      <a:ext cx="5334000" cy="1728611"/>
                    </a:xfrm>
                    <a:prstGeom prst="rect">
                      <a:avLst/>
                    </a:prstGeom>
                    <a:noFill/>
                    <a:ln w="9525">
                      <a:noFill/>
                      <a:headEnd/>
                      <a:tailEnd/>
                    </a:ln>
                  </pic:spPr>
                </pic:pic>
              </a:graphicData>
            </a:graphic>
          </wp:inline>
        </w:drawing>
      </w:r>
    </w:p>
    <w:p>
      <w:pPr>
        <w:pStyle w:val="BodyText"/>
      </w:pPr>
      <w:r>
        <w:rPr>
          <w:iCs/>
          <w:i/>
        </w:rPr>
        <w:t xml:space="preserve">Figure 4: the same screen after the test. Rule 101 denies 203.0.113.66/32 and was created by the block_ip function. Nothing was clicked in the console between Figures 3 and 4.</w:t>
      </w:r>
    </w:p>
    <w:p>
      <w:pPr>
        <w:pStyle w:val="BodyText"/>
      </w:pPr>
      <w:r>
        <w:drawing>
          <wp:inline>
            <wp:extent cx="5334000" cy="1879626"/>
            <wp:effectExtent b="0" l="0" r="0" t="0"/>
            <wp:docPr descr="" title="" id="37" name="Picture"/>
            <a:graphic>
              <a:graphicData uri="http://schemas.openxmlformats.org/drawingml/2006/picture">
                <pic:pic>
                  <pic:nvPicPr>
                    <pic:cNvPr descr="evidence/e09-dynamodb-block.png" id="38" name="Picture"/>
                    <pic:cNvPicPr>
                      <a:picLocks noChangeArrowheads="1" noChangeAspect="1"/>
                    </pic:cNvPicPr>
                  </pic:nvPicPr>
                  <pic:blipFill>
                    <a:blip r:embed="rId36"/>
                    <a:stretch>
                      <a:fillRect/>
                    </a:stretch>
                  </pic:blipFill>
                  <pic:spPr bwMode="auto">
                    <a:xfrm>
                      <a:off x="0" y="0"/>
                      <a:ext cx="5334000" cy="1879626"/>
                    </a:xfrm>
                    <a:prstGeom prst="rect">
                      <a:avLst/>
                    </a:prstGeom>
                    <a:noFill/>
                    <a:ln w="9525">
                      <a:noFill/>
                      <a:headEnd/>
                      <a:tailEnd/>
                    </a:ln>
                  </pic:spPr>
                </pic:pic>
              </a:graphicData>
            </a:graphic>
          </wp:inline>
        </w:drawing>
      </w:r>
    </w:p>
    <w:p>
      <w:pPr>
        <w:pStyle w:val="BodyText"/>
      </w:pPr>
      <w:r>
        <w:rPr>
          <w:iCs/>
          <w:i/>
        </w:rPr>
        <w:t xml:space="preserve">Figure 5: the corresponding record in DynamoDB, carrying the playbook that decided it, the rule number allocated, the reason, and the expiry the scheduled function will act on.</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39"/>
    <w:bookmarkStart w:id="55"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p>
      <w:pPr>
        <w:pStyle w:val="BodyText"/>
      </w:pPr>
      <w:r>
        <w:drawing>
          <wp:inline>
            <wp:extent cx="4206240" cy="3021762"/>
            <wp:effectExtent b="0" l="0" r="0" t="0"/>
            <wp:docPr descr="" title="" id="41" name="Picture"/>
            <a:graphic>
              <a:graphicData uri="http://schemas.openxmlformats.org/drawingml/2006/picture">
                <pic:pic>
                  <pic:nvPicPr>
                    <pic:cNvPr descr="evidence/e06-quarantine-test-output.png" id="42" name="Picture"/>
                    <pic:cNvPicPr>
                      <a:picLocks noChangeArrowheads="1" noChangeAspect="1"/>
                    </pic:cNvPicPr>
                  </pic:nvPicPr>
                  <pic:blipFill>
                    <a:blip r:embed="rId40"/>
                    <a:stretch>
                      <a:fillRect/>
                    </a:stretch>
                  </pic:blipFill>
                  <pic:spPr bwMode="auto">
                    <a:xfrm>
                      <a:off x="0" y="0"/>
                      <a:ext cx="4206240" cy="3021762"/>
                    </a:xfrm>
                    <a:prstGeom prst="rect">
                      <a:avLst/>
                    </a:prstGeom>
                    <a:noFill/>
                    <a:ln w="9525">
                      <a:noFill/>
                      <a:headEnd/>
                      <a:tailEnd/>
                    </a:ln>
                  </pic:spPr>
                </pic:pic>
              </a:graphicData>
            </a:graphic>
          </wp:inline>
        </w:drawing>
      </w:r>
    </w:p>
    <w:p>
      <w:pPr>
        <w:pStyle w:val="BodyText"/>
      </w:pPr>
      <w:r>
        <w:rPr>
          <w:iCs/>
          <w:i/>
        </w:rPr>
        <w:t xml:space="preserve">Figure 6: the quarantine test. The security group changes from the normal group to the isolation group, and the record is written with the originals preserved for restoration.</w:t>
      </w:r>
    </w:p>
    <w:p>
      <w:pPr>
        <w:pStyle w:val="BodyText"/>
      </w:pPr>
      <w:r>
        <w:drawing>
          <wp:inline>
            <wp:extent cx="5334000" cy="3638952"/>
            <wp:effectExtent b="0" l="0" r="0" t="0"/>
            <wp:docPr descr="" title="" id="44" name="Picture"/>
            <a:graphic>
              <a:graphicData uri="http://schemas.openxmlformats.org/drawingml/2006/picture">
                <pic:pic>
                  <pic:nvPicPr>
                    <pic:cNvPr descr="evidence/e04-instance-normal.png" id="45" name="Picture"/>
                    <pic:cNvPicPr>
                      <a:picLocks noChangeArrowheads="1" noChangeAspect="1"/>
                    </pic:cNvPicPr>
                  </pic:nvPicPr>
                  <pic:blipFill>
                    <a:blip r:embed="rId43"/>
                    <a:stretch>
                      <a:fillRect/>
                    </a:stretch>
                  </pic:blipFill>
                  <pic:spPr bwMode="auto">
                    <a:xfrm>
                      <a:off x="0" y="0"/>
                      <a:ext cx="5334000" cy="3638952"/>
                    </a:xfrm>
                    <a:prstGeom prst="rect">
                      <a:avLst/>
                    </a:prstGeom>
                    <a:noFill/>
                    <a:ln w="9525">
                      <a:noFill/>
                      <a:headEnd/>
                      <a:tailEnd/>
                    </a:ln>
                  </pic:spPr>
                </pic:pic>
              </a:graphicData>
            </a:graphic>
          </wp:inline>
        </w:drawing>
      </w:r>
    </w:p>
    <w:p>
      <w:pPr>
        <w:pStyle w:val="BodyText"/>
      </w:pPr>
      <w:r>
        <w:rPr>
          <w:iCs/>
          <w:i/>
        </w:rPr>
        <w:t xml:space="preserve">Figure 7: the demo workstation before isolation, carrying the normal security group with two inbound rules and one outbound rule.</w:t>
      </w:r>
    </w:p>
    <w:p>
      <w:pPr>
        <w:pStyle w:val="BodyText"/>
      </w:pPr>
      <w:r>
        <w:drawing>
          <wp:inline>
            <wp:extent cx="5334000" cy="2668835"/>
            <wp:effectExtent b="0" l="0" r="0" t="0"/>
            <wp:docPr descr="" title="" id="47" name="Picture"/>
            <a:graphic>
              <a:graphicData uri="http://schemas.openxmlformats.org/drawingml/2006/picture">
                <pic:pic>
                  <pic:nvPicPr>
                    <pic:cNvPr descr="evidence/e05-instance-quarantined.png" id="48" name="Picture"/>
                    <pic:cNvPicPr>
                      <a:picLocks noChangeArrowheads="1" noChangeAspect="1"/>
                    </pic:cNvPicPr>
                  </pic:nvPicPr>
                  <pic:blipFill>
                    <a:blip r:embed="rId46"/>
                    <a:stretch>
                      <a:fillRect/>
                    </a:stretch>
                  </pic:blipFill>
                  <pic:spPr bwMode="auto">
                    <a:xfrm>
                      <a:off x="0" y="0"/>
                      <a:ext cx="5334000" cy="2668835"/>
                    </a:xfrm>
                    <a:prstGeom prst="rect">
                      <a:avLst/>
                    </a:prstGeom>
                    <a:noFill/>
                    <a:ln w="9525">
                      <a:noFill/>
                      <a:headEnd/>
                      <a:tailEnd/>
                    </a:ln>
                  </pic:spPr>
                </pic:pic>
              </a:graphicData>
            </a:graphic>
          </wp:inline>
        </w:drawing>
      </w:r>
    </w:p>
    <w:p>
      <w:pPr>
        <w:pStyle w:val="BodyText"/>
      </w:pPr>
      <w:r>
        <w:drawing>
          <wp:inline>
            <wp:extent cx="5334000" cy="1736557"/>
            <wp:effectExtent b="0" l="0" r="0" t="0"/>
            <wp:docPr descr="" title="" id="50" name="Picture"/>
            <a:graphic>
              <a:graphicData uri="http://schemas.openxmlformats.org/drawingml/2006/picture">
                <pic:pic>
                  <pic:nvPicPr>
                    <pic:cNvPr descr="evidence/e05-instance-quarantined-pt2.png" id="51" name="Picture"/>
                    <pic:cNvPicPr>
                      <a:picLocks noChangeArrowheads="1" noChangeAspect="1"/>
                    </pic:cNvPicPr>
                  </pic:nvPicPr>
                  <pic:blipFill>
                    <a:blip r:embed="rId49"/>
                    <a:stretch>
                      <a:fillRect/>
                    </a:stretch>
                  </pic:blipFill>
                  <pic:spPr bwMode="auto">
                    <a:xfrm>
                      <a:off x="0" y="0"/>
                      <a:ext cx="5334000" cy="1736557"/>
                    </a:xfrm>
                    <a:prstGeom prst="rect">
                      <a:avLst/>
                    </a:prstGeom>
                    <a:noFill/>
                    <a:ln w="9525">
                      <a:noFill/>
                      <a:headEnd/>
                      <a:tailEnd/>
                    </a:ln>
                  </pic:spPr>
                </pic:pic>
              </a:graphicData>
            </a:graphic>
          </wp:inline>
        </w:drawing>
      </w:r>
    </w:p>
    <w:p>
      <w:pPr>
        <w:pStyle w:val="BodyText"/>
      </w:pPr>
      <w:r>
        <w:rPr>
          <w:iCs/>
          <w:i/>
        </w:rPr>
        <w:t xml:space="preserve">Figures 8 and 9: the same instance after isolation. The security group is now the quarantine group, both rule tables read</w:t>
      </w:r>
      <w:r>
        <w:rPr>
          <w:iCs/>
          <w:i/>
        </w:rPr>
        <w:t xml:space="preserve"> </w:t>
      </w:r>
      <w:r>
        <w:rPr>
          <w:iCs/>
          <w:i/>
        </w:rPr>
        <w:t xml:space="preserve">“</w:t>
      </w:r>
      <w:r>
        <w:rPr>
          <w:iCs/>
          <w:i/>
        </w:rPr>
        <w:t xml:space="preserve">No rules to display</w:t>
      </w:r>
      <w:r>
        <w:rPr>
          <w:iCs/>
          <w:i/>
        </w:rPr>
        <w:t xml:space="preserve">”</w:t>
      </w:r>
      <w:r>
        <w:rPr>
          <w:iCs/>
          <w:i/>
        </w:rPr>
        <w:t xml:space="preserve">, and the instance state is still Running. The empty tables are the isolation: security groups are default-deny, so a group with no rules permits nothing in either direction.</w:t>
      </w:r>
    </w:p>
    <w:p>
      <w:pPr>
        <w:pStyle w:val="BodyText"/>
      </w:pPr>
      <w:r>
        <w:drawing>
          <wp:inline>
            <wp:extent cx="5334000" cy="2199345"/>
            <wp:effectExtent b="0" l="0" r="0" t="0"/>
            <wp:docPr descr="" title="" id="53" name="Picture"/>
            <a:graphic>
              <a:graphicData uri="http://schemas.openxmlformats.org/drawingml/2006/picture">
                <pic:pic>
                  <pic:nvPicPr>
                    <pic:cNvPr descr="evidence/e10-notification-email.png" id="54" name="Picture"/>
                    <pic:cNvPicPr>
                      <a:picLocks noChangeArrowheads="1" noChangeAspect="1"/>
                    </pic:cNvPicPr>
                  </pic:nvPicPr>
                  <pic:blipFill>
                    <a:blip r:embed="rId52"/>
                    <a:stretch>
                      <a:fillRect/>
                    </a:stretch>
                  </pic:blipFill>
                  <pic:spPr bwMode="auto">
                    <a:xfrm>
                      <a:off x="0" y="0"/>
                      <a:ext cx="5334000" cy="2199345"/>
                    </a:xfrm>
                    <a:prstGeom prst="rect">
                      <a:avLst/>
                    </a:prstGeom>
                    <a:noFill/>
                    <a:ln w="9525">
                      <a:noFill/>
                      <a:headEnd/>
                      <a:tailEnd/>
                    </a:ln>
                  </pic:spPr>
                </pic:pic>
              </a:graphicData>
            </a:graphic>
          </wp:inline>
        </w:drawing>
      </w:r>
    </w:p>
    <w:p>
      <w:pPr>
        <w:pStyle w:val="BodyText"/>
      </w:pPr>
      <w:r>
        <w:rPr>
          <w:iCs/>
          <w:i/>
        </w:rPr>
        <w:t xml:space="preserve">Figure 10: the notification produced by the same playbook. It states what was detected and that the response has already been executed, rather than asking the reader to act.</w:t>
      </w:r>
    </w:p>
    <w:bookmarkEnd w:id="55"/>
    <w:bookmarkStart w:id="68"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that alerts originate from an on-premises server with no part of the event fabricated, and that the internal-address guard holds on real data.</w:t>
      </w:r>
    </w:p>
    <w:p>
      <w:pPr>
        <w:pStyle w:val="BodyText"/>
      </w:pPr>
      <w:r>
        <w:rPr>
          <w:bCs/>
          <w:b/>
        </w:rPr>
        <w:t xml:space="preserve">Method.</w:t>
      </w:r>
      <w:r>
        <w:t xml:space="preserve"> </w:t>
      </w:r>
      <w:r>
        <w:t xml:space="preserve">Six SSH login attempts against</w:t>
      </w:r>
      <w:r>
        <w:t xml:space="preserve"> </w:t>
      </w:r>
      <w:r>
        <w:rPr>
          <w:rStyle w:val="VerbatimChar"/>
        </w:rPr>
        <w:t xml:space="preserve">corp-server</w:t>
      </w:r>
      <w:r>
        <w:t xml:space="preserve"> </w:t>
      </w:r>
      <w:r>
        <w:t xml:space="preserve">using accounts that do not exist. sshd rejects each and writes</w:t>
      </w:r>
      <w:r>
        <w:t xml:space="preserve"> </w:t>
      </w:r>
      <w:r>
        <w:rPr>
          <w:rStyle w:val="VerbatimChar"/>
        </w:rPr>
        <w:t xml:space="preserve">Invalid user &lt;name&gt; from &lt;address&gt;</w:t>
      </w:r>
      <w:r>
        <w:t xml:space="preserve"> </w:t>
      </w:r>
      <w:r>
        <w:t xml:space="preserve">to</w:t>
      </w:r>
      <w:r>
        <w:t xml:space="preserve"> </w:t>
      </w:r>
      <w:r>
        <w:rPr>
          <w:rStyle w:val="VerbatimChar"/>
        </w:rPr>
        <w:t xml:space="preserve">/var/log/auth.log</w:t>
      </w:r>
      <w:r>
        <w:t xml:space="preserve"> </w:t>
      </w:r>
      <w:r>
        <w:t xml:space="preserve">itself. The forwarder agent reads what sshd wrote. No password is needed, so nothing is simulated at any point in the chain.</w:t>
      </w:r>
    </w:p>
    <w:p>
      <w:pPr>
        <w:pStyle w:val="BodyText"/>
      </w:pPr>
      <w:r>
        <w:rPr>
          <w:bCs/>
          <w:b/>
        </w:rPr>
        <w:t xml:space="preserve">Chain under test.</w:t>
      </w:r>
    </w:p>
    <w:p>
      <w:pPr>
        <w:pStyle w:val="SourceCode"/>
      </w:pPr>
      <w:r>
        <w:rPr>
          <w:rStyle w:val="VerbatimChar"/>
        </w:rPr>
        <w:t xml:space="preserve">ssh attempt -&gt; sshd -&gt; auth.log -&gt; forwarder agent -&gt; private API Gateway</w:t>
      </w:r>
      <w:r>
        <w:br/>
      </w:r>
      <w:r>
        <w:rPr>
          <w:rStyle w:val="VerbatimChar"/>
        </w:rPr>
        <w:t xml:space="preserve">-&gt; collector -&gt; DynamoDB + SQS -&gt; rule engine</w:t>
      </w:r>
    </w:p>
    <w:p>
      <w:pPr>
        <w:pStyle w:val="FirstParagraph"/>
      </w:pPr>
      <w:r>
        <w:rPr>
          <w:bCs/>
          <w:b/>
        </w:rPr>
        <w:t xml:space="preserve">Result, part one: ingestion.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Invalid user</w:t>
            </w:r>
            <w:r>
              <w:t xml:space="preserve"> </w:t>
            </w:r>
            <w:r>
              <w:t xml:space="preserve">lines in auth.log, written by sshd</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rPr>
                <w:rStyle w:val="VerbatimChar"/>
              </w:rPr>
              <w:t xml:space="preserve">ssh_auth_failure</w:t>
            </w:r>
            <w:r>
              <w:t xml:space="preserve">, severity high, source address extracted</w:t>
            </w:r>
          </w:p>
        </w:tc>
      </w:tr>
    </w:tbl>
    <w:p>
      <w:pPr>
        <w:pStyle w:val="BodyText"/>
      </w:pPr>
      <w:r>
        <w:rPr>
          <w:bCs/>
          <w:b/>
        </w:rPr>
        <w:t xml:space="preserve">Result, part two: the guard.</w:t>
      </w:r>
      <w:r>
        <w:t xml:space="preserve"> </w:t>
      </w:r>
      <w:r>
        <w:t xml:space="preserve">PB-001 did not fire, and no block was created. The attempts originate from the bastion, which holds an internal address, so the playbook’s</w:t>
      </w:r>
      <w:r>
        <w:t xml:space="preserve"> </w:t>
      </w:r>
      <w:r>
        <w:rPr>
          <w:rStyle w:val="VerbatimChar"/>
        </w:rPr>
        <w:t xml:space="preserve">source_ip_is_external</w:t>
      </w:r>
      <w:r>
        <w:t xml:space="preserve"> </w:t>
      </w:r>
      <w:r>
        <w:t xml:space="preserve">condition evaluated false and the rule engine declined to act.</w:t>
      </w:r>
    </w:p>
    <w:p>
      <w:pPr>
        <w:pStyle w:val="BodyText"/>
      </w:pPr>
      <w:r>
        <w:t xml:space="preserve">That is the correct outcome and it is the more valuable half of this test. E-05 verifies the same guard with a synthetic event; this verifies it against traffic the system genuinely observed. An automated blocker that can be induced to block internal addresses can lock its own operators out of the environment, so the refusal path deserves testing on real input rather than only on input constructed to trigger it.</w:t>
      </w:r>
    </w:p>
    <w:p>
      <w:pPr>
        <w:pStyle w:val="BodyText"/>
      </w:pPr>
      <w:r>
        <w:t xml:space="preserve">Blocking of external addresses is covered by E-01.</w:t>
      </w:r>
    </w:p>
    <w:p>
      <w:pPr>
        <w:pStyle w:val="BodyText"/>
      </w:pPr>
      <w:r>
        <w:rPr>
          <w:bCs/>
          <w:b/>
        </w:rPr>
        <w:t xml:space="preserve">Two defects this test exposed.</w:t>
      </w:r>
    </w:p>
    <w:p>
      <w:pPr>
        <w:pStyle w:val="BodyText"/>
      </w:pPr>
      <w:r>
        <w:rPr>
          <w:iCs/>
          <w:i/>
        </w:rPr>
        <w:t xml:space="preserve">The forwarder crashed on the first line it tried to forward.</w:t>
      </w:r>
      <w:r>
        <w:t xml:space="preserve"> </w:t>
      </w:r>
      <w:r>
        <w:t xml:space="preserve">The tail loop iterated the file with</w:t>
      </w:r>
      <w:r>
        <w:t xml:space="preserve"> </w:t>
      </w:r>
      <w:r>
        <w:rPr>
          <w:rStyle w:val="VerbatimChar"/>
        </w:rPr>
        <w:t xml:space="preserve">for line in fh</w:t>
      </w:r>
      <w:r>
        <w:t xml:space="preserve"> </w:t>
      </w:r>
      <w:r>
        <w:t xml:space="preserve">and called</w:t>
      </w:r>
      <w:r>
        <w:t xml:space="preserve"> </w:t>
      </w:r>
      <w:r>
        <w:rPr>
          <w:rStyle w:val="VerbatimChar"/>
        </w:rPr>
        <w:t xml:space="preserve">fh.tell()</w:t>
      </w:r>
      <w:r>
        <w:t xml:space="preserve"> </w:t>
      </w:r>
      <w:r>
        <w:t xml:space="preserve">inside it to record its offset. Python disallows that combination, because the iterator reads ahead in blocks and the position</w:t>
      </w:r>
      <w:r>
        <w:t xml:space="preserve"> </w:t>
      </w:r>
      <w:r>
        <w:rPr>
          <w:rStyle w:val="VerbatimChar"/>
        </w:rPr>
        <w:t xml:space="preserve">tell()</w:t>
      </w:r>
      <w:r>
        <w:t xml:space="preserve"> </w:t>
      </w:r>
      <w:r>
        <w:t xml:space="preserve">would report is not the position after the current line. It raises</w:t>
      </w:r>
      <w:r>
        <w:t xml:space="preserve"> </w:t>
      </w:r>
      <w:r>
        <w:rPr>
          <w:rStyle w:val="VerbatimChar"/>
        </w:rPr>
        <w:t xml:space="preserve">OSError: telling position disabled by next() call</w:t>
      </w:r>
      <w:r>
        <w:t xml:space="preserve">.</w:t>
      </w:r>
    </w:p>
    <w:p>
      <w:pPr>
        <w:pStyle w:val="BodyText"/>
      </w:pPr>
      <w:r>
        <w:t xml:space="preserve">The failure mode was quiet in the worst way. The agent started, logged that it was watching the file and which endpoint it would post to, then died on the first match. systemd restarted it, and it repeated. By the time this test ran the restart counter had reached 371. Every log line said the agent was working; the service status said</w:t>
      </w:r>
      <w:r>
        <w:t xml:space="preserve"> </w:t>
      </w:r>
      <w:r>
        <w:rPr>
          <w:rStyle w:val="VerbatimChar"/>
        </w:rPr>
        <w:t xml:space="preserve">activating</w:t>
      </w:r>
      <w:r>
        <w:t xml:space="preserve"> </w:t>
      </w:r>
      <w:r>
        <w:t xml:space="preserve">rather than</w:t>
      </w:r>
      <w:r>
        <w:t xml:space="preserve"> </w:t>
      </w:r>
      <w:r>
        <w:rPr>
          <w:rStyle w:val="VerbatimChar"/>
        </w:rPr>
        <w:t xml:space="preserve">active</w:t>
      </w:r>
      <w:r>
        <w:t xml:space="preserve">, which is the only visible difference and is easy to read past.</w:t>
      </w:r>
    </w:p>
    <w:p>
      <w:pPr>
        <w:pStyle w:val="BodyText"/>
      </w:pPr>
      <w:r>
        <w:t xml:space="preserve">Fixed by reading with</w:t>
      </w:r>
      <w:r>
        <w:t xml:space="preserve"> </w:t>
      </w:r>
      <w:r>
        <w:rPr>
          <w:rStyle w:val="VerbatimChar"/>
        </w:rPr>
        <w:t xml:space="preserve">readline()</w:t>
      </w:r>
      <w:r>
        <w:t xml:space="preserve"> </w:t>
      </w:r>
      <w:r>
        <w:t xml:space="preserve">in a while loop, which does not disable</w:t>
      </w:r>
      <w:r>
        <w:t xml:space="preserve"> </w:t>
      </w:r>
      <w:r>
        <w:rPr>
          <w:rStyle w:val="VerbatimChar"/>
        </w:rPr>
        <w:t xml:space="preserve">tell()</w:t>
      </w:r>
      <w:r>
        <w:t xml:space="preserve">. The agent had no tests at all, which is why a defect this basic reached deployment. Nine tests were added that exercise the real tail loop against a real file, covering the regression itself, offset persistence across restarts, rotation handling, and partial lines.</w:t>
      </w:r>
    </w:p>
    <w:p>
      <w:pPr>
        <w:pStyle w:val="BodyText"/>
      </w:pPr>
      <w:r>
        <w:rPr>
          <w:iCs/>
          <w:i/>
        </w:rPr>
        <w:t xml:space="preserve">The forwarder and the collector disagreed about what an SSH failure looks like.</w:t>
      </w:r>
      <w:r>
        <w:t xml:space="preserve"> </w:t>
      </w:r>
      <w:r>
        <w:t xml:space="preserve">The forwarder sends four patterns including</w:t>
      </w:r>
      <w:r>
        <w:t xml:space="preserve"> </w:t>
      </w:r>
      <w:r>
        <w:rPr>
          <w:rStyle w:val="VerbatimChar"/>
        </w:rPr>
        <w:t xml:space="preserve">Invalid user</w:t>
      </w:r>
      <w:r>
        <w:t xml:space="preserve">, but the collector only classified</w:t>
      </w:r>
      <w:r>
        <w:t xml:space="preserve"> </w:t>
      </w:r>
      <w:r>
        <w:rPr>
          <w:rStyle w:val="VerbatimChar"/>
        </w:rPr>
        <w:t xml:space="preserve">Failed password</w:t>
      </w:r>
      <w:r>
        <w:t xml:space="preserve"> </w:t>
      </w:r>
      <w:r>
        <w:t xml:space="preserve">and</w:t>
      </w:r>
      <w:r>
        <w:t xml:space="preserve"> </w:t>
      </w:r>
      <w:r>
        <w:rPr>
          <w:rStyle w:val="VerbatimChar"/>
        </w:rPr>
        <w:t xml:space="preserve">Failed publickey</w:t>
      </w:r>
      <w:r>
        <w:t xml:space="preserve">. Invalid-user events arrived, fell through to</w:t>
      </w:r>
      <w:r>
        <w:t xml:space="preserve"> </w:t>
      </w:r>
      <w:r>
        <w:rPr>
          <w:rStyle w:val="VerbatimChar"/>
        </w:rPr>
        <w:t xml:space="preserve">syslog_generic</w:t>
      </w:r>
      <w:r>
        <w:t xml:space="preserve">, lost their source address, and matched no playbook. Nothing failed loudly: events were ingested and stored, they simply never did anything.</w:t>
      </w:r>
    </w:p>
    <w:p>
      <w:pPr>
        <w:pStyle w:val="BodyText"/>
      </w:pPr>
      <w:r>
        <w:t xml:space="preserve">Fixed by adding the missing patterns, and guarded by a test asserting that every pattern the forwarder sends is classified by the collector, so the contract cannot drift again.</w:t>
      </w:r>
    </w:p>
    <w:p>
      <w:pPr>
        <w:pStyle w:val="BodyText"/>
      </w:pPr>
      <w:r>
        <w:rPr>
          <w:bCs/>
          <w:b/>
        </w:rPr>
        <w:t xml:space="preserve">What links them.</w:t>
      </w:r>
      <w:r>
        <w:t xml:space="preserve"> </w:t>
      </w:r>
      <w:r>
        <w:t xml:space="preserve">Both were failures of the gap between two components rather than of either component alone, and neither produced an error anywhere an operator would look. The forwarder is the only part of this system that runs unattended on a host nobody logs into, and it was the only part with no tests. That correlation is not a coincidence.</w:t>
      </w:r>
    </w:p>
    <w:p>
      <w:pPr>
        <w:pStyle w:val="BodyText"/>
      </w:pPr>
      <w:r>
        <w:t xml:space="preserve">Run with</w:t>
      </w:r>
      <w:r>
        <w:t xml:space="preserve"> </w:t>
      </w:r>
      <w:r>
        <w:rPr>
          <w:rStyle w:val="VerbatimChar"/>
        </w:rPr>
        <w:t xml:space="preserve">scripts/test-soar-onprem-syslog.ps1</w:t>
      </w:r>
      <w:r>
        <w:t xml:space="preserve">.</w:t>
      </w:r>
    </w:p>
    <w:p>
      <w:pPr>
        <w:pStyle w:val="BodyText"/>
      </w:pPr>
      <w:r>
        <w:drawing>
          <wp:inline>
            <wp:extent cx="5334000" cy="3294423"/>
            <wp:effectExtent b="0" l="0" r="0" t="0"/>
            <wp:docPr descr="" title="" id="57" name="Picture"/>
            <a:graphic>
              <a:graphicData uri="http://schemas.openxmlformats.org/drawingml/2006/picture">
                <pic:pic>
                  <pic:nvPicPr>
                    <pic:cNvPr descr="evidence/o03-onprem-test.png" id="58" name="Picture"/>
                    <pic:cNvPicPr>
                      <a:picLocks noChangeArrowheads="1" noChangeAspect="1"/>
                    </pic:cNvPicPr>
                  </pic:nvPicPr>
                  <pic:blipFill>
                    <a:blip r:embed="rId56"/>
                    <a:stretch>
                      <a:fillRect/>
                    </a:stretch>
                  </pic:blipFill>
                  <pic:spPr bwMode="auto">
                    <a:xfrm>
                      <a:off x="0" y="0"/>
                      <a:ext cx="5334000" cy="3294423"/>
                    </a:xfrm>
                    <a:prstGeom prst="rect">
                      <a:avLst/>
                    </a:prstGeom>
                    <a:noFill/>
                    <a:ln w="9525">
                      <a:noFill/>
                      <a:headEnd/>
                      <a:tailEnd/>
                    </a:ln>
                  </pic:spPr>
                </pic:pic>
              </a:graphicData>
            </a:graphic>
          </wp:inline>
        </w:drawing>
      </w:r>
    </w:p>
    <w:p>
      <w:pPr>
        <w:pStyle w:val="BodyText"/>
      </w:pPr>
      <w:r>
        <w:drawing>
          <wp:inline>
            <wp:extent cx="5334000" cy="1446564"/>
            <wp:effectExtent b="0" l="0" r="0" t="0"/>
            <wp:docPr descr="" title="" id="60" name="Picture"/>
            <a:graphic>
              <a:graphicData uri="http://schemas.openxmlformats.org/drawingml/2006/picture">
                <pic:pic>
                  <pic:nvPicPr>
                    <pic:cNvPr descr="evidence/o03-onprem-test-pt2.png" id="61" name="Picture"/>
                    <pic:cNvPicPr>
                      <a:picLocks noChangeArrowheads="1" noChangeAspect="1"/>
                    </pic:cNvPicPr>
                  </pic:nvPicPr>
                  <pic:blipFill>
                    <a:blip r:embed="rId59"/>
                    <a:stretch>
                      <a:fillRect/>
                    </a:stretch>
                  </pic:blipFill>
                  <pic:spPr bwMode="auto">
                    <a:xfrm>
                      <a:off x="0" y="0"/>
                      <a:ext cx="5334000" cy="1446564"/>
                    </a:xfrm>
                    <a:prstGeom prst="rect">
                      <a:avLst/>
                    </a:prstGeom>
                    <a:noFill/>
                    <a:ln w="9525">
                      <a:noFill/>
                      <a:headEnd/>
                      <a:tailEnd/>
                    </a:ln>
                  </pic:spPr>
                </pic:pic>
              </a:graphicData>
            </a:graphic>
          </wp:inline>
        </w:drawing>
      </w:r>
    </w:p>
    <w:p>
      <w:pPr>
        <w:pStyle w:val="BodyText"/>
      </w:pPr>
      <w:r>
        <w:rPr>
          <w:iCs/>
          <w:i/>
        </w:rPr>
        <w:t xml:space="preserve">Figures 11 and 12: the on-premises test. The three panels in the middle show the same six events at three points in the chain: what sshd wrote, what the agent forwarded, and what reached the event store. The timestamps line up, which is what makes this evidence rather than assertion. The rule engine then declines to act, because the source address is internal.</w:t>
      </w:r>
    </w:p>
    <w:p>
      <w:pPr>
        <w:pStyle w:val="BodyText"/>
      </w:pPr>
      <w:r>
        <w:drawing>
          <wp:inline>
            <wp:extent cx="5334000" cy="787868"/>
            <wp:effectExtent b="0" l="0" r="0" t="0"/>
            <wp:docPr descr="" title="" id="63" name="Picture"/>
            <a:graphic>
              <a:graphicData uri="http://schemas.openxmlformats.org/drawingml/2006/picture">
                <pic:pic>
                  <pic:nvPicPr>
                    <pic:cNvPr descr="evidence/o01-forwarder-active.png" id="64" name="Picture"/>
                    <pic:cNvPicPr>
                      <a:picLocks noChangeArrowheads="1" noChangeAspect="1"/>
                    </pic:cNvPicPr>
                  </pic:nvPicPr>
                  <pic:blipFill>
                    <a:blip r:embed="rId62"/>
                    <a:stretch>
                      <a:fillRect/>
                    </a:stretch>
                  </pic:blipFill>
                  <pic:spPr bwMode="auto">
                    <a:xfrm>
                      <a:off x="0" y="0"/>
                      <a:ext cx="5334000" cy="787868"/>
                    </a:xfrm>
                    <a:prstGeom prst="rect">
                      <a:avLst/>
                    </a:prstGeom>
                    <a:noFill/>
                    <a:ln w="9525">
                      <a:noFill/>
                      <a:headEnd/>
                      <a:tailEnd/>
                    </a:ln>
                  </pic:spPr>
                </pic:pic>
              </a:graphicData>
            </a:graphic>
          </wp:inline>
        </w:drawing>
      </w:r>
    </w:p>
    <w:p>
      <w:pPr>
        <w:pStyle w:val="BodyText"/>
      </w:pPr>
      <w:r>
        <w:rPr>
          <w:iCs/>
          <w:i/>
        </w:rPr>
        <w:t xml:space="preserve">Figure 13: the forwarder agent on corp-server, active and logging each line it forwards.</w:t>
      </w:r>
    </w:p>
    <w:p>
      <w:pPr>
        <w:pStyle w:val="BodyText"/>
      </w:pPr>
      <w:r>
        <w:drawing>
          <wp:inline>
            <wp:extent cx="5334000" cy="579574"/>
            <wp:effectExtent b="0" l="0" r="0" t="0"/>
            <wp:docPr descr="" title="" id="66" name="Picture"/>
            <a:graphic>
              <a:graphicData uri="http://schemas.openxmlformats.org/drawingml/2006/picture">
                <pic:pic>
                  <pic:nvPicPr>
                    <pic:cNvPr descr="evidence/o02-authlog.png" id="67" name="Picture"/>
                    <pic:cNvPicPr>
                      <a:picLocks noChangeArrowheads="1" noChangeAspect="1"/>
                    </pic:cNvPicPr>
                  </pic:nvPicPr>
                  <pic:blipFill>
                    <a:blip r:embed="rId65"/>
                    <a:stretch>
                      <a:fillRect/>
                    </a:stretch>
                  </pic:blipFill>
                  <pic:spPr bwMode="auto">
                    <a:xfrm>
                      <a:off x="0" y="0"/>
                      <a:ext cx="5334000" cy="579574"/>
                    </a:xfrm>
                    <a:prstGeom prst="rect">
                      <a:avLst/>
                    </a:prstGeom>
                    <a:noFill/>
                    <a:ln w="9525">
                      <a:noFill/>
                      <a:headEnd/>
                      <a:tailEnd/>
                    </a:ln>
                  </pic:spPr>
                </pic:pic>
              </a:graphicData>
            </a:graphic>
          </wp:inline>
        </w:drawing>
      </w:r>
    </w:p>
    <w:p>
      <w:pPr>
        <w:pStyle w:val="BodyText"/>
      </w:pPr>
      <w:r>
        <w:rPr>
          <w:iCs/>
          <w:i/>
        </w:rPr>
        <w:t xml:space="preserve">Figure 14: the raw authentication log on the corporate server. These lines were written by sshd in response to real connection attempts. The agent reads exactly this; nothing in the pipeline is fabricated.</w:t>
      </w:r>
    </w:p>
    <w:bookmarkEnd w:id="68"/>
    <w:bookmarkStart w:id="69"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69"/>
    <w:bookmarkStart w:id="70"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70"/>
    <w:bookmarkStart w:id="71"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71"/>
    <w:bookmarkEnd w:id="72"/>
    <w:bookmarkStart w:id="83" w:name="resilience-tests"/>
    <w:p>
      <w:pPr>
        <w:pStyle w:val="Heading1"/>
      </w:pPr>
      <w:r>
        <w:t xml:space="preserve">5. Resilience tests</w:t>
      </w:r>
    </w:p>
    <w:bookmarkStart w:id="76"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p>
      <w:pPr>
        <w:pStyle w:val="BodyText"/>
      </w:pPr>
      <w:r>
        <w:drawing>
          <wp:inline>
            <wp:extent cx="5334000" cy="899988"/>
            <wp:effectExtent b="0" l="0" r="0" t="0"/>
            <wp:docPr descr="" title="" id="74" name="Picture"/>
            <a:graphic>
              <a:graphicData uri="http://schemas.openxmlformats.org/drawingml/2006/picture">
                <pic:pic>
                  <pic:nvPicPr>
                    <pic:cNvPr descr="evidence/e07-iam-failure-logs.png" id="75" name="Picture"/>
                    <pic:cNvPicPr>
                      <a:picLocks noChangeArrowheads="1" noChangeAspect="1"/>
                    </pic:cNvPicPr>
                  </pic:nvPicPr>
                  <pic:blipFill>
                    <a:blip r:embed="rId73"/>
                    <a:stretch>
                      <a:fillRect/>
                    </a:stretch>
                  </pic:blipFill>
                  <pic:spPr bwMode="auto">
                    <a:xfrm>
                      <a:off x="0" y="0"/>
                      <a:ext cx="5334000" cy="899988"/>
                    </a:xfrm>
                    <a:prstGeom prst="rect">
                      <a:avLst/>
                    </a:prstGeom>
                    <a:noFill/>
                    <a:ln w="9525">
                      <a:noFill/>
                      <a:headEnd/>
                      <a:tailEnd/>
                    </a:ln>
                  </pic:spPr>
                </pic:pic>
              </a:graphicData>
            </a:graphic>
          </wp:inline>
        </w:drawing>
      </w:r>
    </w:p>
    <w:p>
      <w:pPr>
        <w:pStyle w:val="BodyText"/>
      </w:pPr>
      <w:r>
        <w:rPr>
          <w:iCs/>
          <w:i/>
        </w:rPr>
        <w:t xml:space="preserve">Figure 15: the authorisation failure. The message names the security group ARN rather than the instance, which is what revealed that ModifyInstanceAttribute authorises against both. The ActionsFailed metric is emitted in the same log stream, so the failure was visible on the dashboard rather than silent.</w:t>
      </w:r>
    </w:p>
    <w:bookmarkEnd w:id="76"/>
    <w:bookmarkStart w:id="77"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77"/>
    <w:bookmarkStart w:id="78"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78"/>
    <w:bookmarkStart w:id="79"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79"/>
    <w:bookmarkStart w:id="80"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80"/>
    <w:bookmarkStart w:id="81"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and the one that answers the question the others could not: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routed through the pipeline’s approval gate, approved deliberately, and recovery was performed entirely by re-running pipelines.</w:t>
      </w:r>
    </w:p>
    <w:p>
      <w:pPr>
        <w:pStyle w:val="BodyText"/>
      </w:pPr>
      <w:r>
        <w:rPr>
          <w:bCs/>
          <w:b/>
        </w:rPr>
        <w:t xml:space="preserve">What was destroyed.</w:t>
      </w:r>
      <w:r>
        <w:t xml:space="preserve"> </w:t>
      </w:r>
      <w:r>
        <w:t xml:space="preserve">Both EC2 instances, and with them the entire container platform: k3s itself, Prometheus, Alertmanager, Loki, Alloy, Grafana, cloudwatch-exporter, the SOAR console, the ECR credential timer, and the Tailscale subnet router.</w:t>
      </w:r>
    </w:p>
    <w:p>
      <w:pPr>
        <w:pStyle w:val="BodyText"/>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Apply</w:t>
            </w:r>
          </w:p>
        </w:tc>
        <w:tc>
          <w:tcPr/>
          <w:p>
            <w:pPr>
              <w:pStyle w:val="Compact"/>
              <w:jc w:val="left"/>
            </w:pPr>
            <w:r>
              <w:t xml:space="preserve">Both instances replaced, new private and public addresses issued</w:t>
            </w:r>
          </w:p>
        </w:tc>
      </w:tr>
      <w:tr>
        <w:tc>
          <w:tcPr/>
          <w:p>
            <w:pPr>
              <w:pStyle w:val="Compact"/>
              <w:jc w:val="left"/>
            </w:pPr>
            <w:r>
              <w:t xml:space="preserve">SOAR response path</w:t>
            </w:r>
          </w:p>
        </w:tc>
        <w:tc>
          <w:tcPr/>
          <w:p>
            <w:pPr>
              <w:pStyle w:val="Compact"/>
              <w:jc w:val="left"/>
            </w:pPr>
            <w:r>
              <w:rPr>
                <w:bCs/>
                <w:b/>
              </w:rPr>
              <w:t xml:space="preserve">Unaffected throughout.</w:t>
            </w:r>
            <w:r>
              <w:t xml:space="preserve"> </w:t>
            </w:r>
            <w:r>
              <w:t xml:space="preserve">No interruption at any point</w:t>
            </w:r>
          </w:p>
        </w:tc>
      </w:tr>
      <w:tr>
        <w:tc>
          <w:tcPr/>
          <w:p>
            <w:pPr>
              <w:pStyle w:val="Compact"/>
              <w:jc w:val="left"/>
            </w:pPr>
            <w:r>
              <w:t xml:space="preserve">k3s bootstrap</w:t>
            </w:r>
          </w:p>
        </w:tc>
        <w:tc>
          <w:tcPr/>
          <w:p>
            <w:pPr>
              <w:pStyle w:val="Compact"/>
              <w:jc w:val="left"/>
            </w:pPr>
            <w:r>
              <w:t xml:space="preserve">Completed unattended, including the ECR credential timer</w:t>
            </w:r>
          </w:p>
        </w:tc>
      </w:tr>
      <w:tr>
        <w:tc>
          <w:tcPr/>
          <w:p>
            <w:pPr>
              <w:pStyle w:val="Compact"/>
              <w:jc w:val="left"/>
            </w:pPr>
            <w:r>
              <w:t xml:space="preserve">Observability pipeline</w:t>
            </w:r>
          </w:p>
        </w:tc>
        <w:tc>
          <w:tcPr/>
          <w:p>
            <w:pPr>
              <w:pStyle w:val="Compact"/>
              <w:jc w:val="left"/>
            </w:pPr>
            <w:r>
              <w:t xml:space="preserve">Restored the full stack, addresses read from Terraform state, nothing edited</w:t>
            </w:r>
          </w:p>
        </w:tc>
      </w:tr>
      <w:tr>
        <w:tc>
          <w:tcPr/>
          <w:p>
            <w:pPr>
              <w:pStyle w:val="Compact"/>
              <w:jc w:val="left"/>
            </w:pPr>
            <w:r>
              <w:t xml:space="preserve">Console pipeline</w:t>
            </w:r>
          </w:p>
        </w:tc>
        <w:tc>
          <w:tcPr/>
          <w:p>
            <w:pPr>
              <w:pStyle w:val="Compact"/>
              <w:jc w:val="left"/>
            </w:pPr>
            <w:r>
              <w:t xml:space="preserve">Restored the container, pulled from ECR without manual credential setup</w:t>
            </w:r>
          </w:p>
        </w:tc>
      </w:tr>
      <w:tr>
        <w:tc>
          <w:tcPr/>
          <w:p>
            <w:pPr>
              <w:pStyle w:val="Compact"/>
              <w:jc w:val="left"/>
            </w:pPr>
            <w:r>
              <w:t xml:space="preserve">Verification</w:t>
            </w:r>
          </w:p>
        </w:tc>
        <w:tc>
          <w:tcPr/>
          <w:p>
            <w:pPr>
              <w:pStyle w:val="Compact"/>
              <w:jc w:val="left"/>
            </w:pPr>
            <w:r>
              <w:rPr>
                <w:rStyle w:val="VerbatimChar"/>
              </w:rPr>
              <w:t xml:space="preserve">test-soar-bruteforce.ps1</w:t>
            </w:r>
            <w:r>
              <w:t xml:space="preserve"> </w:t>
            </w:r>
            <w:r>
              <w:t xml:space="preserve">passed, address blocked as NACL rule 101</w:t>
            </w:r>
          </w:p>
        </w:tc>
      </w:tr>
    </w:tbl>
    <w:p>
      <w:pPr>
        <w:pStyle w:val="BodyText"/>
      </w:pPr>
      <w:r>
        <w:rPr>
          <w:bCs/>
          <w:b/>
        </w:rPr>
        <w:t xml:space="preserve">The result that matters most.</w:t>
      </w:r>
      <w:r>
        <w:t xml:space="preserve"> </w:t>
      </w:r>
      <w:r>
        <w:t xml:space="preserve">The brute-force test passed immediately after both instances were replaced, with no manual intervention, because the response pipeline runs on Lambda and has no dependency on either machine. Detection through to containment survived a rebuild of the entire platform layer. That is the design-for-failure claim in REQ-NCA-P2-01 demonstrated rather than argued.</w:t>
      </w:r>
    </w:p>
    <w:p>
      <w:pPr>
        <w:pStyle w:val="BodyText"/>
      </w:pPr>
      <w:r>
        <w:rPr>
          <w:bCs/>
          <w:b/>
        </w:rPr>
        <w:t xml:space="preserve">Second most important.</w:t>
      </w:r>
      <w:r>
        <w:t xml:space="preserve"> </w:t>
      </w:r>
      <w:r>
        <w:t xml:space="preserve">The container pulled its image without anyone touching ECR credentials. When this same rebuild happened accidentally the day before, the pull failed and required manual intervention, because the credential timer had been installed by hand and did not survive. Moving it into the bootstrap fixed a class of problem rather than an instance of one, and this test is what proves it.</w:t>
      </w:r>
    </w:p>
    <w:p>
      <w:pPr>
        <w:pStyle w:val="BodyText"/>
      </w:pPr>
      <w:r>
        <w:rPr>
          <w:bCs/>
          <w:b/>
        </w:rPr>
        <w:t xml:space="preserve">One manual step remained, and it was not the one documented.</w:t>
      </w:r>
      <w:r>
        <w:t xml:space="preserve"> </w:t>
      </w:r>
      <w:r>
        <w:t xml:space="preserve">The operations manual said to approve the Tailscale subnet routes after a rebuild, which is correct. What it did not say is that a replaced instance registers as a</w:t>
      </w:r>
      <w:r>
        <w:t xml:space="preserve"> </w:t>
      </w:r>
      <w:r>
        <w:rPr>
          <w:iCs/>
          <w:i/>
        </w:rPr>
        <w:t xml:space="preserve">new</w:t>
      </w:r>
      <w:r>
        <w:t xml:space="preserve"> </w:t>
      </w:r>
      <w:r>
        <w:t xml:space="preserve">tailnet machine with a suffixed hostname,</w:t>
      </w:r>
      <w:r>
        <w:t xml:space="preserve"> </w:t>
      </w:r>
      <w:r>
        <w:rPr>
          <w:rStyle w:val="VerbatimChar"/>
        </w:rPr>
        <w:t xml:space="preserve">innovatech-aws-gw-1</w:t>
      </w:r>
      <w:r>
        <w:t xml:space="preserve">, while the old entry lingers showing as disconnected. Approving routes on the old entry appears to work and silently does nothing. Corrected in the manual.</w:t>
      </w:r>
    </w:p>
    <w:p>
      <w:pPr>
        <w:pStyle w:val="BodyText"/>
      </w:pPr>
      <w:r>
        <w:rPr>
          <w:bCs/>
          <w:b/>
        </w:rPr>
        <w:t xml:space="preserve">Recovery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Unavailable during recovery</w:t>
            </w:r>
          </w:p>
        </w:tc>
      </w:tr>
      <w:tr>
        <w:tc>
          <w:tcPr/>
          <w:p>
            <w:pPr>
              <w:pStyle w:val="Compact"/>
              <w:jc w:val="left"/>
            </w:pPr>
            <w:r>
              <w:t xml:space="preserve">SOAR detection and response</w:t>
            </w:r>
          </w:p>
        </w:tc>
        <w:tc>
          <w:tcPr/>
          <w:p>
            <w:pPr>
              <w:pStyle w:val="Compact"/>
              <w:jc w:val="left"/>
            </w:pPr>
            <w:r>
              <w:t xml:space="preserve">Not at all</w:t>
            </w:r>
          </w:p>
        </w:tc>
      </w:tr>
      <w:tr>
        <w:tc>
          <w:tcPr/>
          <w:p>
            <w:pPr>
              <w:pStyle w:val="Compact"/>
              <w:jc w:val="left"/>
            </w:pPr>
            <w:r>
              <w:t xml:space="preserve">Event ingest and storage</w:t>
            </w:r>
          </w:p>
        </w:tc>
        <w:tc>
          <w:tcPr/>
          <w:p>
            <w:pPr>
              <w:pStyle w:val="Compact"/>
              <w:jc w:val="left"/>
            </w:pPr>
            <w:r>
              <w:t xml:space="preserve">Not at all</w:t>
            </w:r>
          </w:p>
        </w:tc>
      </w:tr>
      <w:tr>
        <w:tc>
          <w:tcPr/>
          <w:p>
            <w:pPr>
              <w:pStyle w:val="Compact"/>
              <w:jc w:val="left"/>
            </w:pPr>
            <w:r>
              <w:t xml:space="preserve">Monitoring and dashboards</w:t>
            </w:r>
          </w:p>
        </w:tc>
        <w:tc>
          <w:tcPr/>
          <w:p>
            <w:pPr>
              <w:pStyle w:val="Compact"/>
              <w:jc w:val="left"/>
            </w:pPr>
            <w:r>
              <w:t xml:space="preserve">From destruction until the observability pipeline completed</w:t>
            </w:r>
          </w:p>
        </w:tc>
      </w:tr>
      <w:tr>
        <w:tc>
          <w:tcPr/>
          <w:p>
            <w:pPr>
              <w:pStyle w:val="Compact"/>
              <w:jc w:val="left"/>
            </w:pPr>
            <w:r>
              <w:t xml:space="preserve">SOAR console</w:t>
            </w:r>
          </w:p>
        </w:tc>
        <w:tc>
          <w:tcPr/>
          <w:p>
            <w:pPr>
              <w:pStyle w:val="Compact"/>
              <w:jc w:val="left"/>
            </w:pPr>
            <w:r>
              <w:t xml:space="preserve">From destruction until the console pipeline completed</w:t>
            </w:r>
          </w:p>
        </w:tc>
      </w:tr>
      <w:tr>
        <w:tc>
          <w:tcPr/>
          <w:p>
            <w:pPr>
              <w:pStyle w:val="Compact"/>
              <w:jc w:val="left"/>
            </w:pPr>
            <w:r>
              <w:t xml:space="preserve">Hybrid connectivity</w:t>
            </w:r>
          </w:p>
        </w:tc>
        <w:tc>
          <w:tcPr/>
          <w:p>
            <w:pPr>
              <w:pStyle w:val="Compact"/>
              <w:jc w:val="left"/>
            </w:pPr>
            <w:r>
              <w:t xml:space="preserve">Until the new subnet routes were approved</w:t>
            </w:r>
          </w:p>
        </w:tc>
      </w:tr>
    </w:tbl>
    <w:p>
      <w:pPr>
        <w:pStyle w:val="BodyText"/>
      </w:pPr>
      <w:r>
        <w:rPr>
          <w:bCs/>
          <w:b/>
        </w:rPr>
        <w:t xml:space="preserve">Note on how this test came about.</w:t>
      </w:r>
      <w:r>
        <w:t xml:space="preserve"> </w:t>
      </w:r>
      <w:r>
        <w:t xml:space="preserve">The approval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 and this test only became safe to run because of what it found.</w:t>
      </w:r>
    </w:p>
    <w:bookmarkEnd w:id="81"/>
    <w:bookmarkStart w:id="82" w:name="X5ac7a8c1e9b5ce9e510a29cabe332818713a726"/>
    <w:p>
      <w:pPr>
        <w:pStyle w:val="Heading2"/>
      </w:pPr>
      <w:r>
        <w:t xml:space="preserve">5.7 R-07. A dashboard that rendered but showed nothing</w:t>
      </w:r>
    </w:p>
    <w:p>
      <w:pPr>
        <w:pStyle w:val="FirstParagraph"/>
      </w:pPr>
      <w:r>
        <w:rPr>
          <w:bCs/>
          <w:b/>
        </w:rPr>
        <w:t xml:space="preserve">Not a designed test.</w:t>
      </w:r>
      <w:r>
        <w:t xml:space="preserve"> </w:t>
      </w:r>
      <w:r>
        <w:t xml:space="preserve">The SOAR Operations dashboard deployed successfully, imported cleanly, and displayed</w:t>
      </w:r>
      <w:r>
        <w:t xml:space="preserve"> </w:t>
      </w:r>
      <w:r>
        <w:t xml:space="preserve">“</w:t>
      </w:r>
      <w:r>
        <w:t xml:space="preserve">No data</w:t>
      </w:r>
      <w:r>
        <w:t xml:space="preserve">”</w:t>
      </w:r>
      <w:r>
        <w:t xml:space="preserve"> </w:t>
      </w:r>
      <w:r>
        <w:t xml:space="preserve">in every panel that mattered.</w:t>
      </w:r>
    </w:p>
    <w:p>
      <w:pPr>
        <w:pStyle w:val="BodyText"/>
      </w:pPr>
      <w:r>
        <w:rPr>
          <w:bCs/>
          <w:b/>
        </w:rPr>
        <w:t xml:space="preserve">What passed anyway.</w:t>
      </w:r>
      <w:r>
        <w:t xml:space="preserve"> </w:t>
      </w:r>
      <w:r>
        <w:t xml:space="preserve">The observability pipeline reported success. The ConfigMap existed and carried the right label. Grafana imported it. Every panel rendered. The dead-letter-queue panel even showed data. Nothing anywhere reported a fault.</w:t>
      </w:r>
    </w:p>
    <w:p>
      <w:pPr>
        <w:pStyle w:val="BodyText"/>
      </w:pPr>
      <w:r>
        <w:rPr>
          <w:bCs/>
          <w:b/>
        </w:rPr>
        <w:t xml:space="preserve">Two root causes, both in the queries.</w:t>
      </w:r>
    </w:p>
    <w:p>
      <w:pPr>
        <w:pStyle w:val="BodyText"/>
      </w:pPr>
      <w:r>
        <w:rPr>
          <w:rStyle w:val="VerbatimChar"/>
        </w:rPr>
        <w:t xml:space="preserve">cloudwatch_exporter</w:t>
      </w:r>
      <w:r>
        <w:t xml:space="preserve"> </w:t>
      </w:r>
      <w:r>
        <w:t xml:space="preserve">prefixes AWS-owned namespaces with</w:t>
      </w:r>
      <w:r>
        <w:t xml:space="preserve"> </w:t>
      </w:r>
      <w:r>
        <w:rPr>
          <w:rStyle w:val="VerbatimChar"/>
        </w:rPr>
        <w:t xml:space="preserve">aws_</w:t>
      </w:r>
      <w:r>
        <w:t xml:space="preserve">, so</w:t>
      </w:r>
      <w:r>
        <w:t xml:space="preserve"> </w:t>
      </w:r>
      <w:r>
        <w:rPr>
          <w:rStyle w:val="VerbatimChar"/>
        </w:rPr>
        <w:t xml:space="preserve">AWS/Lambda</w:t>
      </w:r>
      <w:r>
        <w:t xml:space="preserve"> </w:t>
      </w:r>
      <w:r>
        <w:t xml:space="preserve">becomes</w:t>
      </w:r>
      <w:r>
        <w:t xml:space="preserve"> </w:t>
      </w:r>
      <w:r>
        <w:rPr>
          <w:rStyle w:val="VerbatimChar"/>
        </w:rPr>
        <w:t xml:space="preserve">aws_lambda_*</w:t>
      </w:r>
      <w:r>
        <w:t xml:space="preserve">. It does not prefix custom namespaces, so</w:t>
      </w:r>
      <w:r>
        <w:t xml:space="preserve"> </w:t>
      </w:r>
      <w:r>
        <w:rPr>
          <w:rStyle w:val="VerbatimChar"/>
        </w:rPr>
        <w:t xml:space="preserve">Innovatech/SOAR</w:t>
      </w:r>
      <w:r>
        <w:t xml:space="preserve"> </w:t>
      </w:r>
      <w:r>
        <w:t xml:space="preserve">becomes</w:t>
      </w:r>
      <w:r>
        <w:t xml:space="preserve"> </w:t>
      </w:r>
      <w:r>
        <w:rPr>
          <w:rStyle w:val="VerbatimChar"/>
        </w:rPr>
        <w:t xml:space="preserve">innovatech_soar_*</w:t>
      </w:r>
      <w:r>
        <w:t xml:space="preserve">. The dashboard queried</w:t>
      </w:r>
      <w:r>
        <w:t xml:space="preserve"> </w:t>
      </w:r>
      <w:r>
        <w:rPr>
          <w:rStyle w:val="VerbatimChar"/>
        </w:rPr>
        <w:t xml:space="preserve">aws_innovatech_soar_*</w:t>
      </w:r>
      <w:r>
        <w:t xml:space="preserve">, a name that does not exist. The Lambda and SQS panels worked precisely because those are AWS namespaces and the assumption happened to hold for them.</w:t>
      </w:r>
    </w:p>
    <w:p>
      <w:pPr>
        <w:pStyle w:val="BodyText"/>
      </w:pPr>
      <w:r>
        <w:t xml:space="preserve">Separately, the exporter emits gauges carrying CloudWatch’s own timestamps rather than monotonic counters.</w:t>
      </w:r>
      <w:r>
        <w:t xml:space="preserve"> </w:t>
      </w:r>
      <w:r>
        <w:rPr>
          <w:rStyle w:val="VerbatimChar"/>
        </w:rPr>
        <w:t xml:space="preserve">rate()</w:t>
      </w:r>
      <w:r>
        <w:t xml:space="preserve"> </w:t>
      </w:r>
      <w:r>
        <w:t xml:space="preserve">and</w:t>
      </w:r>
      <w:r>
        <w:t xml:space="preserve"> </w:t>
      </w:r>
      <w:r>
        <w:rPr>
          <w:rStyle w:val="VerbatimChar"/>
        </w:rPr>
        <w:t xml:space="preserve">increase()</w:t>
      </w:r>
      <w:r>
        <w:t xml:space="preserve"> </w:t>
      </w:r>
      <w:r>
        <w:t xml:space="preserve">require a series that only increases, so both returned nothing.</w:t>
      </w:r>
      <w:r>
        <w:t xml:space="preserve"> </w:t>
      </w:r>
      <w:r>
        <w:rPr>
          <w:rStyle w:val="VerbatimChar"/>
        </w:rPr>
        <w:t xml:space="preserve">sum_over_time</w:t>
      </w:r>
      <w:r>
        <w:t xml:space="preserve"> </w:t>
      </w:r>
      <w:r>
        <w:t xml:space="preserve">is the correct function, and it works because repeated scrapes of the same CloudWatch datapoint share a timestamp and Prometheus stores the sample once.</w:t>
      </w:r>
    </w:p>
    <w:p>
      <w:pPr>
        <w:pStyle w:val="BodyText"/>
      </w:pPr>
      <w:r>
        <w:rPr>
          <w:bCs/>
          <w:b/>
        </w:rPr>
        <w:t xml:space="preserve">Why no check caught it.</w:t>
      </w:r>
      <w:r>
        <w:t xml:space="preserve"> </w:t>
      </w:r>
      <w:r>
        <w:t xml:space="preserve">The pipeline verifies that the ConfigMap is applied and that Grafana has it. It does not, and reasonably cannot, verify that a PromQL expression returns rows. A dashboard is only wrong relative to what a human expected to see, and the failure is invisible until someone looks.</w:t>
      </w:r>
    </w:p>
    <w:p>
      <w:pPr>
        <w:pStyle w:val="BodyText"/>
      </w:pPr>
      <w:r>
        <w:rPr>
          <w:bCs/>
          <w:b/>
        </w:rPr>
        <w:t xml:space="preserve">What would catch it.</w:t>
      </w:r>
      <w:r>
        <w:t xml:space="preserve"> </w:t>
      </w:r>
      <w:r>
        <w:t xml:space="preserve">A post-deployment query against the Prometheus API asserting that the key series exist and are non-empty. That is a genuine improvement and is recorded as a recommendation rather than implemented, because it was found with hours left in the project.</w:t>
      </w:r>
    </w:p>
    <w:p>
      <w:pPr>
        <w:pStyle w:val="BodyText"/>
      </w:pPr>
      <w:r>
        <w:rPr>
          <w:bCs/>
          <w:b/>
        </w:rPr>
        <w:t xml:space="preserve">The general shape.</w:t>
      </w:r>
      <w:r>
        <w:t xml:space="preserve"> </w:t>
      </w:r>
      <w:r>
        <w:t xml:space="preserve">This is the third failure in this project that produced no error anywhere: the forwarder crash-looping while logging that it was healthy, the ECR token expiring silently until the next pull, and now this. Systems fail loudly in tests and quietly in production, and the quiet failures are the ones worth building detection for.</w:t>
      </w:r>
    </w:p>
    <w:bookmarkEnd w:id="82"/>
    <w:bookmarkEnd w:id="83"/>
    <w:bookmarkStart w:id="88" w:name="findings"/>
    <w:p>
      <w:pPr>
        <w:pStyle w:val="Heading1"/>
      </w:pPr>
      <w:r>
        <w:t xml:space="preserve">6. Findings</w:t>
      </w:r>
    </w:p>
    <w:bookmarkStart w:id="84"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84"/>
    <w:bookmarkStart w:id="85"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85"/>
    <w:bookmarkStart w:id="86"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86"/>
    <w:bookmarkStart w:id="87"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87"/>
    <w:bookmarkEnd w:id="88"/>
    <w:bookmarkStart w:id="89"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 F-19</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89"/>
    <w:bookmarkStart w:id="90"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Physical on-premises hardware</w:t>
            </w:r>
          </w:p>
        </w:tc>
        <w:tc>
          <w:tcPr/>
          <w:p>
            <w:pPr>
              <w:pStyle w:val="Compact"/>
              <w:jc w:val="left"/>
            </w:pPr>
            <w:r>
              <w:t xml:space="preserve">The corporate server is simulated on EC2, which the assignment permits. The Hyper-V hosts were never joined to the tailnet</w:t>
            </w:r>
          </w:p>
        </w:tc>
        <w:tc>
          <w:tcPr/>
          <w:p>
            <w:pPr>
              <w:pStyle w:val="Compact"/>
              <w:jc w:val="left"/>
            </w:pPr>
            <w:r>
              <w:t xml:space="preserve">Low. The syslog path is proven end to end from a real host writing real authentication failures, in E-03. Only the physical location differs, and the agent is indifferent to where it runs</w:t>
            </w:r>
          </w:p>
        </w:tc>
      </w:tr>
      <w:tr>
        <w:tc>
          <w:tcPr/>
          <w:p>
            <w:pPr>
              <w:pStyle w:val="Compact"/>
              <w:jc w:val="left"/>
            </w:pPr>
            <w:r>
              <w:t xml:space="preserve">Route 53 Resolver inbound from a physical on-premises resolver</w:t>
            </w:r>
          </w:p>
        </w:tc>
        <w:tc>
          <w:tcPr/>
          <w:p>
            <w:pPr>
              <w:pStyle w:val="Compact"/>
              <w:jc w:val="left"/>
            </w:pPr>
            <w:r>
              <w:t xml:space="preserve">Depends on the hosts above</w:t>
            </w:r>
          </w:p>
        </w:tc>
        <w:tc>
          <w:tcPr/>
          <w:p>
            <w:pPr>
              <w:pStyle w:val="Compact"/>
              <w:jc w:val="left"/>
            </w:pPr>
            <w:r>
              <w:t xml:space="preserve">Medium. The endpoint exists and resolves correctly inside the VPCs, but no external resolver has forwarded to it</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single k3s node is a known and documented limitation</w:t>
            </w:r>
          </w:p>
        </w:tc>
      </w:tr>
      <w:tr>
        <w:tc>
          <w:tcPr/>
          <w:p>
            <w:pPr>
              <w:pStyle w:val="Compact"/>
              <w:jc w:val="left"/>
            </w:pPr>
            <w:r>
              <w:t xml:space="preserve">Full disaster recovery from an empty account</w:t>
            </w:r>
          </w:p>
        </w:tc>
        <w:tc>
          <w:tcPr/>
          <w:p>
            <w:pPr>
              <w:pStyle w:val="Compact"/>
              <w:jc w:val="left"/>
            </w:pPr>
            <w:r>
              <w:t xml:space="preserve">Time</w:t>
            </w:r>
          </w:p>
        </w:tc>
        <w:tc>
          <w:tcPr/>
          <w:p>
            <w:pPr>
              <w:pStyle w:val="Compact"/>
              <w:jc w:val="left"/>
            </w:pPr>
            <w:r>
              <w:t xml:space="preserve">Low. R-06 destroyed and restored the entire platform layer through pipelines, which is most of the same ground. The untested remainder is the bootstrap layer and the state backend</w:t>
            </w:r>
          </w:p>
        </w:tc>
      </w:tr>
      <w:tr>
        <w:tc>
          <w:tcPr/>
          <w:p>
            <w:pPr>
              <w:pStyle w:val="Compact"/>
              <w:jc w:val="left"/>
            </w:pPr>
            <w:r>
              <w:t xml:space="preserve">Dashboard queries returning data</w:t>
            </w:r>
          </w:p>
        </w:tc>
        <w:tc>
          <w:tcPr/>
          <w:p>
            <w:pPr>
              <w:pStyle w:val="Compact"/>
              <w:jc w:val="left"/>
            </w:pPr>
            <w:r>
              <w:t xml:space="preserve">No automated assertion exists</w:t>
            </w:r>
          </w:p>
        </w:tc>
        <w:tc>
          <w:tcPr/>
          <w:p>
            <w:pPr>
              <w:pStyle w:val="Compact"/>
              <w:jc w:val="left"/>
            </w:pPr>
            <w:r>
              <w:t xml:space="preserve">Medium. R-07 shows this failing silently. A post-deployment query against the Prometheus API would close it and is recommended</w:t>
            </w:r>
          </w:p>
        </w:tc>
      </w:tr>
    </w:tbl>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73" Target="media/rId73.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2026-08-23T15:26:57Z</dcterms:created>
  <dcterms:modified xsi:type="dcterms:W3CDTF">2026-08-23T15:26:57Z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