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2655" w:rsidRPr="001D2655" w:rsidRDefault="00421DEC" w:rsidP="001D2655">
      <w:pPr>
        <w:pStyle w:val="Heading1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bookmarkStart w:id="0" w:name="приложение-а1"/>
      <w:proofErr w:type="spellStart"/>
      <w:r w:rsidRPr="005264B3">
        <w:rPr>
          <w:rFonts w:ascii="Times New Roman" w:hAnsi="Times New Roman" w:cs="Times New Roman"/>
          <w:sz w:val="24"/>
          <w:szCs w:val="24"/>
        </w:rPr>
        <w:t>Приложение</w:t>
      </w:r>
      <w:proofErr w:type="spellEnd"/>
      <w:r w:rsidRPr="005264B3">
        <w:rPr>
          <w:rFonts w:ascii="Times New Roman" w:hAnsi="Times New Roman" w:cs="Times New Roman"/>
          <w:sz w:val="24"/>
          <w:szCs w:val="24"/>
        </w:rPr>
        <w:t xml:space="preserve"> А</w:t>
      </w:r>
      <w:r w:rsidR="001D2655">
        <w:rPr>
          <w:rFonts w:ascii="Times New Roman" w:hAnsi="Times New Roman" w:cs="Times New Roman"/>
          <w:sz w:val="24"/>
          <w:szCs w:val="24"/>
          <w:lang w:val="bg-BG"/>
        </w:rPr>
        <w:t>2</w:t>
      </w:r>
    </w:p>
    <w:p w:rsidR="00DE307F" w:rsidRPr="005264B3" w:rsidRDefault="00421DEC" w:rsidP="005264B3">
      <w:pPr>
        <w:pStyle w:val="Heading2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bg-BG"/>
        </w:rPr>
      </w:pPr>
      <w:bookmarkStart w:id="1" w:name="X7cb8d9a9f2d3f5a0eb9db4e8e4bc88859442071"/>
      <w:r w:rsidRPr="005264B3">
        <w:rPr>
          <w:rFonts w:ascii="Times New Roman" w:hAnsi="Times New Roman" w:cs="Times New Roman"/>
          <w:sz w:val="24"/>
          <w:szCs w:val="24"/>
          <w:lang w:val="bg-BG"/>
        </w:rPr>
        <w:t>Приложение на теорията на мрежите за устойчива иконометрична оценка на ефектите от академичния инбрийдинг</w:t>
      </w:r>
      <w:r w:rsidRPr="005264B3">
        <w:rPr>
          <w:rStyle w:val="FootnoteReference"/>
          <w:rFonts w:ascii="Times New Roman" w:hAnsi="Times New Roman" w:cs="Times New Roman"/>
          <w:sz w:val="24"/>
          <w:szCs w:val="24"/>
          <w:lang w:val="bg-BG"/>
        </w:rPr>
        <w:footnoteReference w:id="1"/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Нека академичната система бъде представена като претеглен неориентиран граф </w:t>
      </w:r>
      <m:oMath>
        <m:r>
          <w:rPr>
            <w:rFonts w:ascii="Cambria Math" w:hAnsi="Cambria Math" w:cs="Times New Roman"/>
            <w:lang w:val="bg-BG"/>
          </w:rPr>
          <m:t>G</m:t>
        </m:r>
        <m:r>
          <m:rPr>
            <m:sty m:val="p"/>
          </m:rPr>
          <w:rPr>
            <w:rFonts w:ascii="Cambria Math" w:hAnsi="Cambria Math" w:cs="Times New Roman"/>
            <w:lang w:val="bg-BG"/>
          </w:rPr>
          <m:t>=</m:t>
        </m:r>
        <m:d>
          <m:dPr>
            <m:ctrlPr>
              <w:rPr>
                <w:rFonts w:ascii="Cambria Math" w:hAnsi="Cambria Math" w:cs="Times New Roman"/>
                <w:lang w:val="bg-BG"/>
              </w:rPr>
            </m:ctrlPr>
          </m:dPr>
          <m:e>
            <m:r>
              <w:rPr>
                <w:rFonts w:ascii="Cambria Math" w:hAnsi="Cambria Math" w:cs="Times New Roman"/>
                <w:lang w:val="bg-BG"/>
              </w:rPr>
              <m:t>V</m:t>
            </m:r>
            <m:r>
              <m:rPr>
                <m:sty m:val="p"/>
              </m:rPr>
              <w:rPr>
                <w:rFonts w:ascii="Cambria Math" w:hAnsi="Cambria Math" w:cs="Times New Roman"/>
                <w:lang w:val="bg-BG"/>
              </w:rPr>
              <m:t>,</m:t>
            </m:r>
            <m:r>
              <w:rPr>
                <w:rFonts w:ascii="Cambria Math" w:hAnsi="Cambria Math" w:cs="Times New Roman"/>
                <w:lang w:val="bg-BG"/>
              </w:rPr>
              <m:t>E</m:t>
            </m:r>
            <m:r>
              <m:rPr>
                <m:sty m:val="p"/>
              </m:rPr>
              <w:rPr>
                <w:rFonts w:ascii="Cambria Math" w:hAnsi="Cambria Math" w:cs="Times New Roman"/>
                <w:lang w:val="bg-BG"/>
              </w:rPr>
              <m:t>,</m:t>
            </m:r>
            <m:r>
              <w:rPr>
                <w:rFonts w:ascii="Cambria Math" w:hAnsi="Cambria Math" w:cs="Times New Roman"/>
                <w:lang w:val="bg-BG"/>
              </w:rPr>
              <m:t>W</m:t>
            </m:r>
          </m:e>
        </m:d>
      </m:oMath>
      <w:r w:rsidRPr="005264B3">
        <w:rPr>
          <w:rFonts w:ascii="Times New Roman" w:hAnsi="Times New Roman" w:cs="Times New Roman"/>
          <w:lang w:val="bg-BG"/>
        </w:rPr>
        <w:t xml:space="preserve">, където </w:t>
      </w:r>
      <m:oMath>
        <m:r>
          <w:rPr>
            <w:rFonts w:ascii="Cambria Math" w:hAnsi="Cambria Math" w:cs="Times New Roman"/>
            <w:lang w:val="bg-BG"/>
          </w:rPr>
          <m:t>V</m:t>
        </m:r>
      </m:oMath>
      <w:r w:rsidRPr="005264B3">
        <w:rPr>
          <w:rFonts w:ascii="Times New Roman" w:hAnsi="Times New Roman" w:cs="Times New Roman"/>
          <w:lang w:val="bg-BG"/>
        </w:rPr>
        <w:t xml:space="preserve"> е множеството на академичния състав (хабилитирани и нехабилитирани лица), </w:t>
      </w:r>
      <m:oMath>
        <m:r>
          <w:rPr>
            <w:rFonts w:ascii="Cambria Math" w:hAnsi="Cambria Math" w:cs="Times New Roman"/>
            <w:lang w:val="bg-BG"/>
          </w:rPr>
          <m:t>E</m:t>
        </m:r>
      </m:oMath>
      <w:r w:rsidRPr="005264B3">
        <w:rPr>
          <w:rFonts w:ascii="Times New Roman" w:hAnsi="Times New Roman" w:cs="Times New Roman"/>
          <w:lang w:val="bg-BG"/>
        </w:rPr>
        <w:t xml:space="preserve"> е множеството от наблюдавани академични отношения, а </w:t>
      </w:r>
      <m:oMath>
        <m:r>
          <w:rPr>
            <w:rFonts w:ascii="Cambria Math" w:hAnsi="Cambria Math" w:cs="Times New Roman"/>
            <w:lang w:val="bg-BG"/>
          </w:rPr>
          <m:t>W</m:t>
        </m:r>
      </m:oMath>
      <w:r w:rsidRPr="005264B3">
        <w:rPr>
          <w:rFonts w:ascii="Times New Roman" w:hAnsi="Times New Roman" w:cs="Times New Roman"/>
          <w:lang w:val="bg-BG"/>
        </w:rPr>
        <w:t xml:space="preserve"> е претеглената матрица на връзките (Newman, 2010; Barrat et al., 2004). Ако има </w:t>
      </w:r>
      <m:oMath>
        <m:r>
          <w:rPr>
            <w:rFonts w:ascii="Cambria Math" w:hAnsi="Cambria Math" w:cs="Times New Roman"/>
            <w:lang w:val="bg-BG"/>
          </w:rPr>
          <m:t>n</m:t>
        </m:r>
      </m:oMath>
      <w:r w:rsidRPr="005264B3">
        <w:rPr>
          <w:rFonts w:ascii="Times New Roman" w:hAnsi="Times New Roman" w:cs="Times New Roman"/>
          <w:lang w:val="bg-BG"/>
        </w:rPr>
        <w:t xml:space="preserve"> академични лица, тогава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bg-BG"/>
            </w:rPr>
            <m:t>V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={</m:t>
          </m:r>
          <m:r>
            <w:rPr>
              <w:rFonts w:ascii="Cambria Math" w:hAnsi="Cambria Math" w:cs="Times New Roman"/>
              <w:lang w:val="bg-BG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  <m:r>
            <w:rPr>
              <w:rFonts w:ascii="Cambria Math" w:hAnsi="Cambria Math" w:cs="Times New Roman"/>
              <w:lang w:val="bg-BG"/>
            </w:rPr>
            <m:t>2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,…,</m:t>
          </m:r>
          <m:r>
            <w:rPr>
              <w:rFonts w:ascii="Cambria Math" w:hAnsi="Cambria Math" w:cs="Times New Roman"/>
              <w:lang w:val="bg-BG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},</m:t>
          </m:r>
          <m:r>
            <w:rPr>
              <w:rFonts w:ascii="Cambria Math" w:hAnsi="Cambria Math" w:cs="Times New Roman"/>
              <w:lang w:val="bg-BG"/>
            </w:rPr>
            <m:t>  W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bg-BG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bg-BG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bg-BG"/>
                        </w:rPr>
                        <m:t>ij</m:t>
                      </m:r>
                    </m:sub>
                  </m:sSub>
                </m:e>
              </m:d>
            </m:e>
            <m:sub>
              <m:r>
                <w:rPr>
                  <w:rFonts w:ascii="Cambria Math" w:hAnsi="Cambria Math" w:cs="Times New Roman"/>
                  <w:lang w:val="bg-BG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×</m:t>
              </m:r>
              <m:r>
                <w:rPr>
                  <w:rFonts w:ascii="Cambria Math" w:hAnsi="Cambria Math" w:cs="Times New Roman"/>
                  <w:lang w:val="bg-BG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Елементът </w:t>
      </w:r>
      <m:oMath>
        <m:sSub>
          <m:sSubPr>
            <m:ctrlPr>
              <w:rPr>
                <w:rFonts w:ascii="Cambria Math" w:hAnsi="Cambria Math" w:cs="Times New Roman"/>
                <w:lang w:val="bg-BG"/>
              </w:rPr>
            </m:ctrlPr>
          </m:sSubPr>
          <m:e>
            <m:r>
              <w:rPr>
                <w:rFonts w:ascii="Cambria Math" w:hAnsi="Cambria Math" w:cs="Times New Roman"/>
                <w:lang w:val="bg-BG"/>
              </w:rPr>
              <m:t>w</m:t>
            </m:r>
          </m:e>
          <m:sub>
            <m:r>
              <w:rPr>
                <w:rFonts w:ascii="Cambria Math" w:hAnsi="Cambria Math" w:cs="Times New Roman"/>
                <w:lang w:val="bg-BG"/>
              </w:rPr>
              <m:t>ij</m:t>
            </m:r>
          </m:sub>
        </m:sSub>
      </m:oMath>
      <w:r w:rsidRPr="005264B3">
        <w:rPr>
          <w:rFonts w:ascii="Times New Roman" w:hAnsi="Times New Roman" w:cs="Times New Roman"/>
          <w:lang w:val="bg-BG"/>
        </w:rPr>
        <w:t xml:space="preserve"> измерва силата на академичната връзка между лице </w:t>
      </w:r>
      <m:oMath>
        <m:r>
          <w:rPr>
            <w:rFonts w:ascii="Cambria Math" w:hAnsi="Cambria Math" w:cs="Times New Roman"/>
            <w:lang w:val="bg-BG"/>
          </w:rPr>
          <m:t>i</m:t>
        </m:r>
      </m:oMath>
      <w:r w:rsidRPr="005264B3">
        <w:rPr>
          <w:rFonts w:ascii="Times New Roman" w:hAnsi="Times New Roman" w:cs="Times New Roman"/>
          <w:lang w:val="bg-BG"/>
        </w:rPr>
        <w:t xml:space="preserve"> и лице </w:t>
      </w:r>
      <m:oMath>
        <m:r>
          <w:rPr>
            <w:rFonts w:ascii="Cambria Math" w:hAnsi="Cambria Math" w:cs="Times New Roman"/>
            <w:lang w:val="bg-BG"/>
          </w:rPr>
          <m:t>j</m:t>
        </m:r>
      </m:oMath>
      <w:r w:rsidRPr="005264B3">
        <w:rPr>
          <w:rFonts w:ascii="Times New Roman" w:hAnsi="Times New Roman" w:cs="Times New Roman"/>
          <w:lang w:val="bg-BG"/>
        </w:rPr>
        <w:t>. В базовата спецификация се използва следното кодиране: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ако 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 е научен ръководител на 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j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 или обратното,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0.5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ако 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 участва в научно жури на 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j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 или обратното,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ако между 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i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 и 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j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 няма наблюдаема връзка.</m:t>
                    </m:r>
                  </m:e>
                </m:mr>
              </m:m>
            </m:e>
          </m:d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Ако между две лица има повече от една връзка, тежестите могат да се сумират: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+</m:t>
          </m:r>
          <m:r>
            <w:rPr>
              <w:rFonts w:ascii="Cambria Math" w:hAnsi="Cambria Math" w:cs="Times New Roman"/>
              <w:lang w:val="bg-BG"/>
            </w:rPr>
            <m:t>0.5 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където </w:t>
      </w:r>
      <m:oMath>
        <m:sSub>
          <m:sSubPr>
            <m:ctrlPr>
              <w:rPr>
                <w:rFonts w:ascii="Cambria Math" w:hAnsi="Cambria Math" w:cs="Times New Roman"/>
                <w:lang w:val="bg-BG"/>
              </w:rPr>
            </m:ctrlPr>
          </m:sSubPr>
          <m:e>
            <m:r>
              <w:rPr>
                <w:rFonts w:ascii="Cambria Math" w:hAnsi="Cambria Math" w:cs="Times New Roman"/>
                <w:lang w:val="bg-BG"/>
              </w:rPr>
              <m:t>s</m:t>
            </m:r>
          </m:e>
          <m:sub>
            <m:r>
              <w:rPr>
                <w:rFonts w:ascii="Cambria Math" w:hAnsi="Cambria Math" w:cs="Times New Roman"/>
                <w:lang w:val="bg-BG"/>
              </w:rPr>
              <m:t>ij</m:t>
            </m:r>
          </m:sub>
        </m:sSub>
      </m:oMath>
      <w:r w:rsidRPr="005264B3">
        <w:rPr>
          <w:rFonts w:ascii="Times New Roman" w:hAnsi="Times New Roman" w:cs="Times New Roman"/>
          <w:lang w:val="bg-BG"/>
        </w:rPr>
        <w:t xml:space="preserve"> е броят на отношенията научен ръководител–докторант между </w:t>
      </w:r>
      <m:oMath>
        <m:r>
          <w:rPr>
            <w:rFonts w:ascii="Cambria Math" w:hAnsi="Cambria Math" w:cs="Times New Roman"/>
            <w:lang w:val="bg-BG"/>
          </w:rPr>
          <m:t>i</m:t>
        </m:r>
      </m:oMath>
      <w:r w:rsidRPr="005264B3">
        <w:rPr>
          <w:rFonts w:ascii="Times New Roman" w:hAnsi="Times New Roman" w:cs="Times New Roman"/>
          <w:lang w:val="bg-BG"/>
        </w:rPr>
        <w:t xml:space="preserve"> и </w:t>
      </w:r>
      <m:oMath>
        <m:r>
          <w:rPr>
            <w:rFonts w:ascii="Cambria Math" w:hAnsi="Cambria Math" w:cs="Times New Roman"/>
            <w:lang w:val="bg-BG"/>
          </w:rPr>
          <m:t>j</m:t>
        </m:r>
      </m:oMath>
      <w:r w:rsidRPr="005264B3">
        <w:rPr>
          <w:rFonts w:ascii="Times New Roman" w:hAnsi="Times New Roman" w:cs="Times New Roman"/>
          <w:lang w:val="bg-BG"/>
        </w:rPr>
        <w:t xml:space="preserve">, а </w:t>
      </w:r>
      <m:oMath>
        <m:sSub>
          <m:sSubPr>
            <m:ctrlPr>
              <w:rPr>
                <w:rFonts w:ascii="Cambria Math" w:hAnsi="Cambria Math" w:cs="Times New Roman"/>
                <w:lang w:val="bg-BG"/>
              </w:rPr>
            </m:ctrlPr>
          </m:sSubPr>
          <m:e>
            <m:r>
              <w:rPr>
                <w:rFonts w:ascii="Cambria Math" w:hAnsi="Cambria Math" w:cs="Times New Roman"/>
                <w:lang w:val="bg-BG"/>
              </w:rPr>
              <m:t>q</m:t>
            </m:r>
          </m:e>
          <m:sub>
            <m:r>
              <w:rPr>
                <w:rFonts w:ascii="Cambria Math" w:hAnsi="Cambria Math" w:cs="Times New Roman"/>
                <w:lang w:val="bg-BG"/>
              </w:rPr>
              <m:t>ij</m:t>
            </m:r>
          </m:sub>
        </m:sSub>
      </m:oMath>
      <w:r w:rsidRPr="005264B3">
        <w:rPr>
          <w:rFonts w:ascii="Times New Roman" w:hAnsi="Times New Roman" w:cs="Times New Roman"/>
          <w:lang w:val="bg-BG"/>
        </w:rPr>
        <w:t xml:space="preserve"> е броят на отношенията жури–докторант. При неориентирана мрежа важи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bg-BG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',</m:t>
          </m:r>
          <m:r>
            <w:rPr>
              <w:rFonts w:ascii="Cambria Math" w:hAnsi="Cambria Math" w:cs="Times New Roman"/>
              <w:lang w:val="bg-BG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Ако дадена академична траектория минава през ръководител, жури и вътрешен орган, тази траектория оставя следа в </w:t>
      </w:r>
      <m:oMath>
        <m:r>
          <w:rPr>
            <w:rFonts w:ascii="Cambria Math" w:hAnsi="Cambria Math" w:cs="Times New Roman"/>
            <w:lang w:val="bg-BG"/>
          </w:rPr>
          <m:t>W</m:t>
        </m:r>
      </m:oMath>
      <w:r w:rsidRPr="005264B3">
        <w:rPr>
          <w:rFonts w:ascii="Times New Roman" w:hAnsi="Times New Roman" w:cs="Times New Roman"/>
          <w:lang w:val="bg-BG"/>
        </w:rPr>
        <w:t>. Така родословието се превръща в обект на изчисление.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lastRenderedPageBreak/>
        <w:t>Да разгледаме пет академични лица A, B, C, D и E. A е научен ръководител на B и C. B участва в журито на D. D е научен ръководител на E. Тогава претеглената матрица на връзките е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bg-BG"/>
            </w:rPr>
            <m:t>W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d>
            <m:dPr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0.5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</m:e>
                </m:mr>
              </m:m>
            </m:e>
          </m:d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където редовете и стълбовете са подредени в реда A, B, C, D, E.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Този пример показва разликата между директна и индиректна </w:t>
      </w:r>
      <w:proofErr w:type="spellStart"/>
      <w:r w:rsidRPr="005264B3">
        <w:rPr>
          <w:rFonts w:ascii="Times New Roman" w:hAnsi="Times New Roman" w:cs="Times New Roman"/>
          <w:lang w:val="bg-BG"/>
        </w:rPr>
        <w:t>вграденост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. A има силни преки връзки, защото е ръководител на двама докторанти. D също има две връзки, но една от тях е по-слаба, защото е връзка през жури. C има само една връзка, но тази връзка води към A, който е централен. Точно тук възниква въпросът дали е важно само колко връзки има дадено лице, или и към кого водят тези връзки. </w:t>
      </w:r>
      <w:r w:rsidR="001D2655" w:rsidRPr="005264B3">
        <w:rPr>
          <w:rFonts w:ascii="Times New Roman" w:hAnsi="Times New Roman" w:cs="Times New Roman"/>
          <w:lang w:val="bg-BG"/>
        </w:rPr>
        <w:t>Обикновено</w:t>
      </w:r>
      <w:r w:rsidRPr="005264B3">
        <w:rPr>
          <w:rFonts w:ascii="Times New Roman" w:hAnsi="Times New Roman" w:cs="Times New Roman"/>
          <w:lang w:val="bg-BG"/>
        </w:rPr>
        <w:t xml:space="preserve"> в контекста на Стопанския факултет на СУ патологиите в назначенията са свързани директно с това, кой на кого е бил научен ръководител. Настоящия декан, Атанас Георгиев, става декан за четири години след като </w:t>
      </w:r>
      <w:r w:rsidR="005264B3" w:rsidRPr="005264B3">
        <w:rPr>
          <w:rFonts w:ascii="Times New Roman" w:hAnsi="Times New Roman" w:cs="Times New Roman"/>
          <w:lang w:val="bg-BG"/>
        </w:rPr>
        <w:t>завършва</w:t>
      </w:r>
      <w:r w:rsidRPr="005264B3">
        <w:rPr>
          <w:rFonts w:ascii="Times New Roman" w:hAnsi="Times New Roman" w:cs="Times New Roman"/>
          <w:lang w:val="bg-BG"/>
        </w:rPr>
        <w:t xml:space="preserve"> докторска степен. Бива въздигнат в доцент след около 1 година след придобиване на докторска степен</w:t>
      </w:r>
      <w:r w:rsidRPr="005264B3">
        <w:rPr>
          <w:rStyle w:val="FootnoteReference"/>
          <w:rFonts w:ascii="Times New Roman" w:hAnsi="Times New Roman" w:cs="Times New Roman"/>
          <w:lang w:val="bg-BG"/>
        </w:rPr>
        <w:footnoteReference w:id="2"/>
      </w:r>
      <w:r w:rsidRPr="005264B3">
        <w:rPr>
          <w:rFonts w:ascii="Times New Roman" w:hAnsi="Times New Roman" w:cs="Times New Roman"/>
          <w:lang w:val="bg-BG"/>
        </w:rPr>
        <w:t xml:space="preserve">. Това е важно защото неговият научен ръководител е именно бившия декан на Стопанския факултет – Георги Чобанов. Лицата, които са свързани с Георги Чобанов и </w:t>
      </w:r>
      <w:r w:rsidR="007100D9" w:rsidRPr="005264B3">
        <w:rPr>
          <w:rFonts w:ascii="Times New Roman" w:hAnsi="Times New Roman" w:cs="Times New Roman"/>
          <w:lang w:val="bg-BG"/>
        </w:rPr>
        <w:t>Желю</w:t>
      </w:r>
      <w:r w:rsidRPr="005264B3">
        <w:rPr>
          <w:rFonts w:ascii="Times New Roman" w:hAnsi="Times New Roman" w:cs="Times New Roman"/>
          <w:lang w:val="bg-BG"/>
        </w:rPr>
        <w:t xml:space="preserve"> Владимиров, например, образуват много дълги </w:t>
      </w:r>
      <w:r w:rsidR="001D2655" w:rsidRPr="005264B3">
        <w:rPr>
          <w:rFonts w:ascii="Times New Roman" w:hAnsi="Times New Roman" w:cs="Times New Roman"/>
          <w:lang w:val="bg-BG"/>
        </w:rPr>
        <w:t>генеалогически</w:t>
      </w:r>
      <w:r w:rsidRPr="005264B3">
        <w:rPr>
          <w:rFonts w:ascii="Times New Roman" w:hAnsi="Times New Roman" w:cs="Times New Roman"/>
          <w:lang w:val="bg-BG"/>
        </w:rPr>
        <w:t xml:space="preserve"> мрежи на възпроизводство (фиг. 1).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Друг важен момент е</w:t>
      </w:r>
      <w:r w:rsidR="001D2655">
        <w:rPr>
          <w:rFonts w:ascii="Times New Roman" w:hAnsi="Times New Roman" w:cs="Times New Roman"/>
          <w:lang w:val="bg-BG"/>
        </w:rPr>
        <w:t>,</w:t>
      </w:r>
      <w:r w:rsidRPr="005264B3">
        <w:rPr>
          <w:rFonts w:ascii="Times New Roman" w:hAnsi="Times New Roman" w:cs="Times New Roman"/>
          <w:lang w:val="bg-BG"/>
        </w:rPr>
        <w:t xml:space="preserve"> че Георги Чобанов често пъти ръководите дисертации, по които не е експерт</w:t>
      </w:r>
      <w:r w:rsidR="001D2655">
        <w:rPr>
          <w:rFonts w:ascii="Times New Roman" w:hAnsi="Times New Roman" w:cs="Times New Roman"/>
          <w:lang w:val="bg-BG"/>
        </w:rPr>
        <w:t xml:space="preserve">. Тази практика най-вероятно е свързана с желанието </w:t>
      </w:r>
      <w:r w:rsidRPr="005264B3">
        <w:rPr>
          <w:rFonts w:ascii="Times New Roman" w:hAnsi="Times New Roman" w:cs="Times New Roman"/>
          <w:lang w:val="bg-BG"/>
        </w:rPr>
        <w:t>да се “създаде кадър”, който да бъде</w:t>
      </w:r>
      <w:r w:rsidR="001D2655">
        <w:rPr>
          <w:rFonts w:ascii="Times New Roman" w:hAnsi="Times New Roman" w:cs="Times New Roman"/>
          <w:lang w:val="bg-BG"/>
        </w:rPr>
        <w:t xml:space="preserve"> в последствие о</w:t>
      </w:r>
      <w:r w:rsidRPr="005264B3">
        <w:rPr>
          <w:rFonts w:ascii="Times New Roman" w:hAnsi="Times New Roman" w:cs="Times New Roman"/>
          <w:lang w:val="bg-BG"/>
        </w:rPr>
        <w:t xml:space="preserve"> </w:t>
      </w:r>
      <w:r w:rsidR="005264B3" w:rsidRPr="005264B3">
        <w:rPr>
          <w:rFonts w:ascii="Times New Roman" w:hAnsi="Times New Roman" w:cs="Times New Roman"/>
          <w:lang w:val="bg-BG"/>
        </w:rPr>
        <w:t>абсорбиран</w:t>
      </w:r>
      <w:r w:rsidRPr="005264B3">
        <w:rPr>
          <w:rFonts w:ascii="Times New Roman" w:hAnsi="Times New Roman" w:cs="Times New Roman"/>
          <w:lang w:val="bg-BG"/>
        </w:rPr>
        <w:t xml:space="preserve"> в Стопанския факултет. Такъв е случаят не само с Георгиев, но и с Илияна Анкова, чиято дисертация “Счетоводно-информационно осигуряване за ефективно управление на разходите в сектор производство и преработка на птиче месо” ръководи </w:t>
      </w:r>
      <w:r w:rsidR="001D2655">
        <w:rPr>
          <w:rFonts w:ascii="Times New Roman" w:hAnsi="Times New Roman" w:cs="Times New Roman"/>
          <w:lang w:val="bg-BG"/>
        </w:rPr>
        <w:t>отново</w:t>
      </w:r>
      <w:r w:rsidRPr="005264B3">
        <w:rPr>
          <w:rFonts w:ascii="Times New Roman" w:hAnsi="Times New Roman" w:cs="Times New Roman"/>
          <w:lang w:val="bg-BG"/>
        </w:rPr>
        <w:t xml:space="preserve"> </w:t>
      </w:r>
      <w:r w:rsidR="005264B3" w:rsidRPr="005264B3">
        <w:rPr>
          <w:rFonts w:ascii="Times New Roman" w:hAnsi="Times New Roman" w:cs="Times New Roman"/>
          <w:lang w:val="bg-BG"/>
        </w:rPr>
        <w:t>Чобанов</w:t>
      </w:r>
      <w:r w:rsidRPr="005264B3">
        <w:rPr>
          <w:rFonts w:ascii="Times New Roman" w:hAnsi="Times New Roman" w:cs="Times New Roman"/>
          <w:lang w:val="bg-BG"/>
        </w:rPr>
        <w:t>. Председателят на научното жури на Анкова, Жел</w:t>
      </w:r>
      <w:r w:rsidR="007100D9" w:rsidRPr="005264B3">
        <w:rPr>
          <w:rFonts w:ascii="Times New Roman" w:hAnsi="Times New Roman" w:cs="Times New Roman"/>
          <w:lang w:val="bg-BG"/>
        </w:rPr>
        <w:t>ю</w:t>
      </w:r>
      <w:r w:rsidRPr="005264B3">
        <w:rPr>
          <w:rFonts w:ascii="Times New Roman" w:hAnsi="Times New Roman" w:cs="Times New Roman"/>
          <w:lang w:val="bg-BG"/>
        </w:rPr>
        <w:t xml:space="preserve"> </w:t>
      </w:r>
      <w:r w:rsidRPr="005264B3">
        <w:rPr>
          <w:rFonts w:ascii="Times New Roman" w:hAnsi="Times New Roman" w:cs="Times New Roman"/>
          <w:lang w:val="bg-BG"/>
        </w:rPr>
        <w:lastRenderedPageBreak/>
        <w:t>Владимиров, дори не е завършил икономика, а кандидат на науките става с темата “Общество как система : философско-</w:t>
      </w:r>
      <w:proofErr w:type="spellStart"/>
      <w:r w:rsidRPr="005264B3">
        <w:rPr>
          <w:rFonts w:ascii="Times New Roman" w:hAnsi="Times New Roman" w:cs="Times New Roman"/>
          <w:lang w:val="bg-BG"/>
        </w:rPr>
        <w:t>методологические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аспекты</w:t>
      </w:r>
      <w:proofErr w:type="spellEnd"/>
      <w:r w:rsidRPr="005264B3">
        <w:rPr>
          <w:rFonts w:ascii="Times New Roman" w:hAnsi="Times New Roman" w:cs="Times New Roman"/>
          <w:lang w:val="bg-BG"/>
        </w:rPr>
        <w:t>” защитена в Русия (тук). По късно същия става доктор на икономическите науки отново с тема, която няма нищо общо с управленското счетоводство.</w:t>
      </w:r>
    </w:p>
    <w:p w:rsidR="00DE307F" w:rsidRPr="005264B3" w:rsidRDefault="001D2655" w:rsidP="001D2655">
      <w:pPr>
        <w:pStyle w:val="BodyText"/>
        <w:spacing w:line="360" w:lineRule="auto"/>
        <w:ind w:firstLine="720"/>
        <w:rPr>
          <w:rFonts w:ascii="Times New Roman" w:hAnsi="Times New Roman" w:cs="Times New Roman"/>
          <w:lang w:val="bg-BG"/>
        </w:rPr>
      </w:pPr>
      <w:r>
        <w:rPr>
          <w:rFonts w:ascii="Times New Roman" w:hAnsi="Times New Roman" w:cs="Times New Roman"/>
          <w:lang w:val="bg-BG"/>
        </w:rPr>
        <w:t xml:space="preserve">Както казахме, </w:t>
      </w:r>
      <w:r w:rsidR="00421DEC" w:rsidRPr="005264B3">
        <w:rPr>
          <w:rFonts w:ascii="Times New Roman" w:hAnsi="Times New Roman" w:cs="Times New Roman"/>
          <w:lang w:val="bg-BG"/>
        </w:rPr>
        <w:t>Чобанов ръководи и дисертацията на самия настоящ декан, носеща заглавието “</w:t>
      </w:r>
      <w:r w:rsidR="00421DEC" w:rsidRPr="005264B3">
        <w:rPr>
          <w:rFonts w:ascii="Times New Roman" w:hAnsi="Times New Roman" w:cs="Times New Roman"/>
          <w:i/>
          <w:lang w:val="bg-BG"/>
        </w:rPr>
        <w:t>Институционална независимост на националния енергиен регулатор в България</w:t>
      </w:r>
      <w:r w:rsidR="00421DEC" w:rsidRPr="005264B3">
        <w:rPr>
          <w:rFonts w:ascii="Times New Roman" w:hAnsi="Times New Roman" w:cs="Times New Roman"/>
          <w:lang w:val="bg-BG"/>
        </w:rPr>
        <w:t>”, а по-рано и дисертацията на Ралица Ганева носеща името “Влияние на човешкия капитал върху икономическия растеж/България, 1949-2005 г.</w:t>
      </w:r>
      <w:r w:rsidR="007100D9" w:rsidRPr="005264B3">
        <w:rPr>
          <w:rFonts w:ascii="Times New Roman" w:hAnsi="Times New Roman" w:cs="Times New Roman"/>
          <w:lang w:val="bg-BG"/>
        </w:rPr>
        <w:t>“,</w:t>
      </w:r>
      <w:r w:rsidR="00421DEC" w:rsidRPr="005264B3">
        <w:rPr>
          <w:rFonts w:ascii="Times New Roman" w:hAnsi="Times New Roman" w:cs="Times New Roman"/>
          <w:lang w:val="bg-BG"/>
        </w:rPr>
        <w:t xml:space="preserve"> която по същия начин съдържа методология напълно противоположна на тази в другите дисертации (</w:t>
      </w:r>
      <w:proofErr w:type="spellStart"/>
      <w:r w:rsidR="00421DEC" w:rsidRPr="005264B3">
        <w:rPr>
          <w:rFonts w:ascii="Times New Roman" w:hAnsi="Times New Roman" w:cs="Times New Roman"/>
          <w:lang w:val="bg-BG"/>
        </w:rPr>
        <w:t>иконометрия</w:t>
      </w:r>
      <w:proofErr w:type="spellEnd"/>
      <w:r w:rsidR="00421DEC" w:rsidRPr="005264B3">
        <w:rPr>
          <w:rFonts w:ascii="Times New Roman" w:hAnsi="Times New Roman" w:cs="Times New Roman"/>
          <w:lang w:val="bg-BG"/>
        </w:rPr>
        <w:t xml:space="preserve"> върху исторически времеви редове). Както Анкова, така и Ганева обаче, стават доценти за около 5 години след като завършват докторантура; постижението от една година на Георгиев е абсолютно безпрецедентно и е съпоставимо само с това на </w:t>
      </w:r>
      <w:r w:rsidRPr="005264B3">
        <w:rPr>
          <w:rFonts w:ascii="Times New Roman" w:hAnsi="Times New Roman" w:cs="Times New Roman"/>
          <w:lang w:val="bg-BG"/>
        </w:rPr>
        <w:t>текущия</w:t>
      </w:r>
      <w:r w:rsidR="00421DEC" w:rsidRPr="005264B3">
        <w:rPr>
          <w:rFonts w:ascii="Times New Roman" w:hAnsi="Times New Roman" w:cs="Times New Roman"/>
          <w:lang w:val="bg-BG"/>
        </w:rPr>
        <w:t xml:space="preserve"> зам. декан, Тодор </w:t>
      </w:r>
      <w:proofErr w:type="spellStart"/>
      <w:r w:rsidR="00421DEC" w:rsidRPr="005264B3">
        <w:rPr>
          <w:rFonts w:ascii="Times New Roman" w:hAnsi="Times New Roman" w:cs="Times New Roman"/>
          <w:lang w:val="bg-BG"/>
        </w:rPr>
        <w:t>Ялъмов</w:t>
      </w:r>
      <w:proofErr w:type="spellEnd"/>
      <w:r w:rsidR="00421DEC" w:rsidRPr="005264B3">
        <w:rPr>
          <w:rFonts w:ascii="Times New Roman" w:hAnsi="Times New Roman" w:cs="Times New Roman"/>
          <w:lang w:val="bg-BG"/>
        </w:rPr>
        <w:t xml:space="preserve">, който успява да стане доцент за 2 години след като </w:t>
      </w:r>
      <w:r w:rsidR="005264B3" w:rsidRPr="005264B3">
        <w:rPr>
          <w:rFonts w:ascii="Times New Roman" w:hAnsi="Times New Roman" w:cs="Times New Roman"/>
          <w:lang w:val="bg-BG"/>
        </w:rPr>
        <w:t>приключва</w:t>
      </w:r>
      <w:r w:rsidR="00421DEC" w:rsidRPr="005264B3">
        <w:rPr>
          <w:rFonts w:ascii="Times New Roman" w:hAnsi="Times New Roman" w:cs="Times New Roman"/>
          <w:lang w:val="bg-BG"/>
        </w:rPr>
        <w:t xml:space="preserve"> докторантура, при все, че е свързан през докторантурата си с</w:t>
      </w:r>
      <w:r w:rsidR="005264B3">
        <w:rPr>
          <w:rFonts w:ascii="Times New Roman" w:hAnsi="Times New Roman" w:cs="Times New Roman"/>
        </w:rPr>
        <w:t xml:space="preserve"> </w:t>
      </w:r>
      <w:r w:rsidR="00421DEC" w:rsidRPr="005264B3">
        <w:rPr>
          <w:rFonts w:ascii="Times New Roman" w:hAnsi="Times New Roman" w:cs="Times New Roman"/>
          <w:lang w:val="bg-BG"/>
        </w:rPr>
        <w:t xml:space="preserve">Анастасия </w:t>
      </w:r>
      <w:proofErr w:type="spellStart"/>
      <w:r w:rsidR="00421DEC" w:rsidRPr="005264B3">
        <w:rPr>
          <w:rFonts w:ascii="Times New Roman" w:hAnsi="Times New Roman" w:cs="Times New Roman"/>
          <w:lang w:val="bg-BG"/>
        </w:rPr>
        <w:t>Бънкова</w:t>
      </w:r>
      <w:proofErr w:type="spellEnd"/>
      <w:r w:rsidR="00421DEC" w:rsidRPr="005264B3">
        <w:rPr>
          <w:rFonts w:ascii="Times New Roman" w:hAnsi="Times New Roman" w:cs="Times New Roman"/>
          <w:lang w:val="bg-BG"/>
        </w:rPr>
        <w:t>. Друг съпоставим казус е и този на бившата заместник-</w:t>
      </w:r>
      <w:proofErr w:type="spellStart"/>
      <w:r w:rsidR="00421DEC" w:rsidRPr="005264B3">
        <w:rPr>
          <w:rFonts w:ascii="Times New Roman" w:hAnsi="Times New Roman" w:cs="Times New Roman"/>
          <w:lang w:val="bg-BG"/>
        </w:rPr>
        <w:t>деканка</w:t>
      </w:r>
      <w:proofErr w:type="spellEnd"/>
      <w:r w:rsidR="00421DEC" w:rsidRPr="005264B3">
        <w:rPr>
          <w:rFonts w:ascii="Times New Roman" w:hAnsi="Times New Roman" w:cs="Times New Roman"/>
          <w:lang w:val="bg-BG"/>
        </w:rPr>
        <w:t>, Боряна Богданова, която защити дисертация през 2014 година и беше въздигната за доцент през 2016 година (тук</w:t>
      </w:r>
      <w:bookmarkStart w:id="2" w:name="_GoBack"/>
      <w:bookmarkEnd w:id="2"/>
      <w:r w:rsidR="00421DEC" w:rsidRPr="005264B3">
        <w:rPr>
          <w:rFonts w:ascii="Times New Roman" w:hAnsi="Times New Roman" w:cs="Times New Roman"/>
          <w:lang w:val="bg-BG"/>
        </w:rPr>
        <w:t>). Нейният научен ръководител беше Иван Иванов, който тогава има структурна роля за Стопанския факултет, тъй като на практика е част от потока на неговите основатели.</w:t>
      </w:r>
    </w:p>
    <w:p w:rsidR="00DE307F" w:rsidRPr="005264B3" w:rsidRDefault="00421DEC" w:rsidP="005264B3">
      <w:pPr>
        <w:pStyle w:val="CaptionedFigure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noProof/>
          <w:lang w:val="bg-BG"/>
        </w:rPr>
        <w:lastRenderedPageBreak/>
        <w:drawing>
          <wp:inline distT="0" distB="0" distL="0" distR="0">
            <wp:extent cx="4533900" cy="3289300"/>
            <wp:effectExtent l="0" t="0" r="0" b="0"/>
            <wp:docPr id="23" name="Picture" descr="Фигура 1: Генеалогична мрежа на академично възпроизводств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figur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289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307F" w:rsidRPr="005264B3" w:rsidRDefault="00421DEC" w:rsidP="005264B3">
      <w:pPr>
        <w:pStyle w:val="ImageCaption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Фигура 1: Генеалогична мрежа на академично възпроизводство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Патологиите описани по-горе са много. За да може обаче да се направят по-генерални заключения трябва да се използват математически и статистически инструменти (особено в регресиите на растежа). Най-простият показател е степента на централност (</w:t>
      </w:r>
      <w:proofErr w:type="spellStart"/>
      <w:r w:rsidRPr="005264B3">
        <w:rPr>
          <w:rFonts w:ascii="Times New Roman" w:hAnsi="Times New Roman" w:cs="Times New Roman"/>
          <w:lang w:val="bg-BG"/>
        </w:rPr>
        <w:t>Freeman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1978). При </w:t>
      </w:r>
      <w:proofErr w:type="spellStart"/>
      <w:r w:rsidRPr="005264B3">
        <w:rPr>
          <w:rFonts w:ascii="Times New Roman" w:hAnsi="Times New Roman" w:cs="Times New Roman"/>
          <w:lang w:val="bg-BG"/>
        </w:rPr>
        <w:t>непретеглена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мрежа тя брои броя на преките връзки. При претеглена мрежа по-подходящата величина е претеглената степен, често наричана сила на възела (</w:t>
      </w:r>
      <w:proofErr w:type="spellStart"/>
      <w:r w:rsidRPr="005264B3">
        <w:rPr>
          <w:rFonts w:ascii="Times New Roman" w:hAnsi="Times New Roman" w:cs="Times New Roman"/>
          <w:lang w:val="bg-BG"/>
        </w:rPr>
        <w:t>Barrat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et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al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., 2004). За лице </w:t>
      </w:r>
      <m:oMath>
        <m:r>
          <w:rPr>
            <w:rFonts w:ascii="Cambria Math" w:hAnsi="Cambria Math" w:cs="Times New Roman"/>
            <w:lang w:val="bg-BG"/>
          </w:rPr>
          <m:t>i</m:t>
        </m:r>
      </m:oMath>
      <w:r w:rsidRPr="005264B3">
        <w:rPr>
          <w:rFonts w:ascii="Times New Roman" w:hAnsi="Times New Roman" w:cs="Times New Roman"/>
          <w:lang w:val="bg-BG"/>
        </w:rPr>
        <w:t xml:space="preserve"> тя е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lang w:val="bg-BG"/>
                </w:rPr>
              </m:ctrlPr>
            </m:sSubSupPr>
            <m:e>
              <m:r>
                <w:rPr>
                  <w:rFonts w:ascii="Cambria Math" w:hAnsi="Cambria Math" w:cs="Times New Roman"/>
                  <w:lang w:val="bg-BG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lang w:val="bg-BG"/>
                </w:rPr>
                <m:t>w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lang w:val="bg-BG"/>
                </w:rPr>
              </m:ctrlPr>
            </m:naryPr>
            <m:sub>
              <m:r>
                <w:rPr>
                  <w:rFonts w:ascii="Cambria Math" w:hAnsi="Cambria Math" w:cs="Times New Roman"/>
                  <w:lang w:val="bg-BG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=</m:t>
              </m:r>
              <m:r>
                <w:rPr>
                  <w:rFonts w:ascii="Cambria Math" w:hAnsi="Cambria Math" w:cs="Times New Roman"/>
                  <w:lang w:val="bg-BG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lang w:val="bg-BG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bg-BG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В матрична форма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lang w:val="bg-BG"/>
                </w:rPr>
              </m:ctrlPr>
            </m:sSupPr>
            <m:e>
              <m:r>
                <w:rPr>
                  <w:rFonts w:ascii="Cambria Math" w:hAnsi="Cambria Math" w:cs="Times New Roman"/>
                  <w:lang w:val="bg-BG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lang w:val="bg-BG"/>
                </w:rPr>
                <m:t>w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W</m:t>
          </m:r>
          <m:r>
            <m:rPr>
              <m:sty m:val="b"/>
            </m:rPr>
            <w:rPr>
              <w:rFonts w:ascii="Cambria Math" w:hAnsi="Cambria Math" w:cs="Times New Roman"/>
              <w:lang w:val="bg-BG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където </w:t>
      </w:r>
      <m:oMath>
        <m:r>
          <m:rPr>
            <m:sty m:val="b"/>
          </m:rPr>
          <w:rPr>
            <w:rFonts w:ascii="Cambria Math" w:hAnsi="Cambria Math" w:cs="Times New Roman"/>
            <w:lang w:val="bg-BG"/>
          </w:rPr>
          <m:t>1</m:t>
        </m:r>
      </m:oMath>
      <w:r w:rsidRPr="005264B3">
        <w:rPr>
          <w:rFonts w:ascii="Times New Roman" w:hAnsi="Times New Roman" w:cs="Times New Roman"/>
          <w:lang w:val="bg-BG"/>
        </w:rPr>
        <w:t xml:space="preserve"> е вектор от единици,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m:rPr>
              <m:sty m:val="b"/>
            </m:rPr>
            <w:rPr>
              <w:rFonts w:ascii="Cambria Math" w:hAnsi="Cambria Math" w:cs="Times New Roman"/>
              <w:lang w:val="bg-BG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lang w:val="bg-BG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,</m:t>
              </m:r>
              <m:r>
                <w:rPr>
                  <w:rFonts w:ascii="Cambria Math" w:hAnsi="Cambria Math" w:cs="Times New Roman"/>
                  <w:lang w:val="bg-BG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,…,</m:t>
              </m:r>
              <m:r>
                <w:rPr>
                  <w:rFonts w:ascii="Cambria Math" w:hAnsi="Cambria Math" w:cs="Times New Roman"/>
                  <w:lang w:val="bg-BG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'.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За примерната матрица получаваме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lang w:val="bg-BG"/>
                </w:rPr>
              </m:ctrlPr>
            </m:sSupPr>
            <m:e>
              <m:r>
                <w:rPr>
                  <w:rFonts w:ascii="Cambria Math" w:hAnsi="Cambria Math" w:cs="Times New Roman"/>
                  <w:lang w:val="bg-BG"/>
                </w:rPr>
                <m:t>d</m:t>
              </m:r>
            </m:e>
            <m:sup>
              <m:r>
                <w:rPr>
                  <w:rFonts w:ascii="Cambria Math" w:hAnsi="Cambria Math" w:cs="Times New Roman"/>
                  <w:lang w:val="bg-BG"/>
                </w:rPr>
                <m:t>w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W</m:t>
          </m:r>
          <m:r>
            <m:rPr>
              <m:sty m:val="b"/>
            </m:rPr>
            <w:rPr>
              <w:rFonts w:ascii="Cambria Math" w:hAnsi="Cambria Math" w:cs="Times New Roman"/>
              <w:lang w:val="bg-BG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lang w:val="bg-BG"/>
                </w:rPr>
                <m:t> 2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,</m:t>
              </m:r>
              <m:r>
                <w:rPr>
                  <w:rFonts w:ascii="Cambria Math" w:hAnsi="Cambria Math" w:cs="Times New Roman"/>
                  <w:lang w:val="bg-BG"/>
                </w:rPr>
                <m:t> 1.5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,</m:t>
              </m:r>
              <m:r>
                <w:rPr>
                  <w:rFonts w:ascii="Cambria Math" w:hAnsi="Cambria Math" w:cs="Times New Roman"/>
                  <w:lang w:val="bg-BG"/>
                </w:rPr>
                <m:t> 1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,</m:t>
              </m:r>
              <m:r>
                <w:rPr>
                  <w:rFonts w:ascii="Cambria Math" w:hAnsi="Cambria Math" w:cs="Times New Roman"/>
                  <w:lang w:val="bg-BG"/>
                </w:rPr>
                <m:t> 1.5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,</m:t>
              </m:r>
              <m:r>
                <w:rPr>
                  <w:rFonts w:ascii="Cambria Math" w:hAnsi="Cambria Math" w:cs="Times New Roman"/>
                  <w:lang w:val="bg-BG"/>
                </w:rPr>
                <m:t> 1 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'.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Следователно A има най-висока пряка </w:t>
      </w:r>
      <w:proofErr w:type="spellStart"/>
      <w:r w:rsidRPr="005264B3">
        <w:rPr>
          <w:rFonts w:ascii="Times New Roman" w:hAnsi="Times New Roman" w:cs="Times New Roman"/>
          <w:lang w:val="bg-BG"/>
        </w:rPr>
        <w:t>вграденост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. B и D имат междинна </w:t>
      </w:r>
      <w:proofErr w:type="spellStart"/>
      <w:r w:rsidRPr="005264B3">
        <w:rPr>
          <w:rFonts w:ascii="Times New Roman" w:hAnsi="Times New Roman" w:cs="Times New Roman"/>
          <w:lang w:val="bg-BG"/>
        </w:rPr>
        <w:t>вграденост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. C и E са периферни в смисъла на преките връзки. В контекста на фигура 1 е очевидно, че почти всички, които са свързани с върхове като Георги Чобанов или </w:t>
      </w:r>
      <w:r w:rsidR="007100D9" w:rsidRPr="005264B3">
        <w:rPr>
          <w:rFonts w:ascii="Times New Roman" w:hAnsi="Times New Roman" w:cs="Times New Roman"/>
          <w:lang w:val="bg-BG"/>
        </w:rPr>
        <w:t>Желю</w:t>
      </w:r>
      <w:r w:rsidRPr="005264B3">
        <w:rPr>
          <w:rFonts w:ascii="Times New Roman" w:hAnsi="Times New Roman" w:cs="Times New Roman"/>
          <w:lang w:val="bg-BG"/>
        </w:rPr>
        <w:t xml:space="preserve"> Владимиров ще имат структурно предимство в мрежата. За това има съществено значение именно това кой с кого е свързан. Този показател е полезен, защото измерва обема на непосредствените академични контакти. Но той не отчита дали контактите са с периферни, или с централни лица.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За да се измери достъпът до централни лица, се използва </w:t>
      </w:r>
      <w:proofErr w:type="spellStart"/>
      <w:r w:rsidRPr="005264B3">
        <w:rPr>
          <w:rFonts w:ascii="Times New Roman" w:hAnsi="Times New Roman" w:cs="Times New Roman"/>
          <w:lang w:val="bg-BG"/>
        </w:rPr>
        <w:t>собственовекторна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централност (</w:t>
      </w:r>
      <w:proofErr w:type="spellStart"/>
      <w:r w:rsidRPr="005264B3">
        <w:rPr>
          <w:rFonts w:ascii="Times New Roman" w:hAnsi="Times New Roman" w:cs="Times New Roman"/>
          <w:lang w:val="bg-BG"/>
        </w:rPr>
        <w:t>Bonacich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1972). Тя решава проблема, при който човек може да има малко връзки, но тези връзки да водят към най-важните фигури в мрежата. Формално централността </w:t>
      </w:r>
      <m:oMath>
        <m:r>
          <w:rPr>
            <w:rFonts w:ascii="Cambria Math" w:hAnsi="Cambria Math" w:cs="Times New Roman"/>
            <w:lang w:val="bg-BG"/>
          </w:rPr>
          <m:t>x</m:t>
        </m:r>
      </m:oMath>
      <w:r w:rsidRPr="005264B3">
        <w:rPr>
          <w:rFonts w:ascii="Times New Roman" w:hAnsi="Times New Roman" w:cs="Times New Roman"/>
          <w:lang w:val="bg-BG"/>
        </w:rPr>
        <w:t xml:space="preserve"> се дефинира чрез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bg-BG"/>
            </w:rPr>
            <m:t>Wx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max</m:t>
              </m:r>
            </m:sub>
          </m:sSub>
          <m:r>
            <w:rPr>
              <w:rFonts w:ascii="Cambria Math" w:hAnsi="Cambria Math" w:cs="Times New Roman"/>
              <w:lang w:val="bg-BG"/>
            </w:rPr>
            <m:t> x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където </w:t>
      </w:r>
      <m:oMath>
        <m:r>
          <w:rPr>
            <w:rFonts w:ascii="Cambria Math" w:hAnsi="Cambria Math" w:cs="Times New Roman"/>
            <w:lang w:val="bg-BG"/>
          </w:rPr>
          <m:t>x</m:t>
        </m:r>
      </m:oMath>
      <w:r w:rsidRPr="005264B3">
        <w:rPr>
          <w:rFonts w:ascii="Times New Roman" w:hAnsi="Times New Roman" w:cs="Times New Roman"/>
          <w:lang w:val="bg-BG"/>
        </w:rPr>
        <w:t xml:space="preserve"> е векторът на централностите, а </w:t>
      </w:r>
      <m:oMath>
        <m:sSub>
          <m:sSubPr>
            <m:ctrlPr>
              <w:rPr>
                <w:rFonts w:ascii="Cambria Math" w:hAnsi="Cambria Math" w:cs="Times New Roman"/>
                <w:lang w:val="bg-BG"/>
              </w:rPr>
            </m:ctrlPr>
          </m:sSubPr>
          <m:e>
            <m:r>
              <w:rPr>
                <w:rFonts w:ascii="Cambria Math" w:hAnsi="Cambria Math" w:cs="Times New Roman"/>
                <w:lang w:val="bg-BG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bg-BG"/>
              </w:rPr>
              <m:t>max</m:t>
            </m:r>
          </m:sub>
        </m:sSub>
      </m:oMath>
      <w:r w:rsidRPr="005264B3">
        <w:rPr>
          <w:rFonts w:ascii="Times New Roman" w:hAnsi="Times New Roman" w:cs="Times New Roman"/>
          <w:lang w:val="bg-BG"/>
        </w:rPr>
        <w:t xml:space="preserve"> е най-голямата собствена стойност на </w:t>
      </w:r>
      <m:oMath>
        <m:r>
          <w:rPr>
            <w:rFonts w:ascii="Cambria Math" w:hAnsi="Cambria Math" w:cs="Times New Roman"/>
            <w:lang w:val="bg-BG"/>
          </w:rPr>
          <m:t>W</m:t>
        </m:r>
      </m:oMath>
      <w:r w:rsidRPr="005264B3">
        <w:rPr>
          <w:rFonts w:ascii="Times New Roman" w:hAnsi="Times New Roman" w:cs="Times New Roman"/>
          <w:lang w:val="bg-BG"/>
        </w:rPr>
        <w:t>. За всеки отделен участник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bg-BG"/>
                </w:rPr>
              </m:ctrlPr>
            </m:fPr>
            <m:num>
              <m:r>
                <w:rPr>
                  <w:rFonts w:ascii="Cambria Math" w:hAnsi="Cambria Math" w:cs="Times New Roman"/>
                  <w:lang w:val="bg-BG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bg-BG"/>
                    </w:rPr>
                    <m:t>max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lang w:val="bg-BG"/>
                </w:rPr>
              </m:ctrlPr>
            </m:naryPr>
            <m:sub>
              <m:r>
                <w:rPr>
                  <w:rFonts w:ascii="Cambria Math" w:hAnsi="Cambria Math" w:cs="Times New Roman"/>
                  <w:lang w:val="bg-BG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=</m:t>
              </m:r>
              <m:r>
                <w:rPr>
                  <w:rFonts w:ascii="Cambria Math" w:hAnsi="Cambria Math" w:cs="Times New Roman"/>
                  <w:lang w:val="bg-BG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lang w:val="bg-BG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lang w:val="bg-BG"/>
                    </w:rPr>
                    <m:t>ij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Следователно централността на </w:t>
      </w:r>
      <m:oMath>
        <m:r>
          <w:rPr>
            <w:rFonts w:ascii="Cambria Math" w:hAnsi="Cambria Math" w:cs="Times New Roman"/>
            <w:lang w:val="bg-BG"/>
          </w:rPr>
          <m:t>i</m:t>
        </m:r>
      </m:oMath>
      <w:r w:rsidRPr="005264B3">
        <w:rPr>
          <w:rFonts w:ascii="Times New Roman" w:hAnsi="Times New Roman" w:cs="Times New Roman"/>
          <w:lang w:val="bg-BG"/>
        </w:rPr>
        <w:t xml:space="preserve"> зависи от централността на неговите съседи. Това е рекурсивна логика, защото човек е централен, когато е свързан с други централни хора. От гледна точка на стопанския факултет това означава, че не всяка връзка има еднаква стойност. Връзката с периферен участник не носи същата структурна тежест като връзката с лице, което многократно участва като научен ръководител, член на жури или управленска фигура.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Математическата основа на тази мярка е теоремата на Перон-</w:t>
      </w:r>
      <w:proofErr w:type="spellStart"/>
      <w:r w:rsidRPr="005264B3">
        <w:rPr>
          <w:rFonts w:ascii="Times New Roman" w:hAnsi="Times New Roman" w:cs="Times New Roman"/>
          <w:lang w:val="bg-BG"/>
        </w:rPr>
        <w:t>Фробениус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за неотрицателни матрици (</w:t>
      </w:r>
      <w:proofErr w:type="spellStart"/>
      <w:r w:rsidRPr="005264B3">
        <w:rPr>
          <w:rFonts w:ascii="Times New Roman" w:hAnsi="Times New Roman" w:cs="Times New Roman"/>
          <w:lang w:val="bg-BG"/>
        </w:rPr>
        <w:t>Newman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2010). Тъй като </w:t>
      </w:r>
      <m:oMath>
        <m:r>
          <w:rPr>
            <w:rFonts w:ascii="Cambria Math" w:hAnsi="Cambria Math" w:cs="Times New Roman"/>
            <w:lang w:val="bg-BG"/>
          </w:rPr>
          <m:t>W</m:t>
        </m:r>
      </m:oMath>
      <w:r w:rsidRPr="005264B3">
        <w:rPr>
          <w:rFonts w:ascii="Times New Roman" w:hAnsi="Times New Roman" w:cs="Times New Roman"/>
          <w:lang w:val="bg-BG"/>
        </w:rPr>
        <w:t xml:space="preserve"> съдържа неотрицателни тегла, водещият собствен вектор може да бъде използван като мярка за структурна централност, особено когато мрежата е свързана (</w:t>
      </w:r>
      <w:proofErr w:type="spellStart"/>
      <w:r w:rsidRPr="005264B3">
        <w:rPr>
          <w:rFonts w:ascii="Times New Roman" w:hAnsi="Times New Roman" w:cs="Times New Roman"/>
          <w:lang w:val="bg-BG"/>
        </w:rPr>
        <w:t>Bonacich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1972; </w:t>
      </w:r>
      <w:proofErr w:type="spellStart"/>
      <w:r w:rsidRPr="005264B3">
        <w:rPr>
          <w:rFonts w:ascii="Times New Roman" w:hAnsi="Times New Roman" w:cs="Times New Roman"/>
          <w:lang w:val="bg-BG"/>
        </w:rPr>
        <w:t>Newman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2010). Ако мрежата е фрагментирана, </w:t>
      </w:r>
      <w:r w:rsidRPr="005264B3">
        <w:rPr>
          <w:rFonts w:ascii="Times New Roman" w:hAnsi="Times New Roman" w:cs="Times New Roman"/>
          <w:lang w:val="bg-BG"/>
        </w:rPr>
        <w:lastRenderedPageBreak/>
        <w:t xml:space="preserve">глобалната </w:t>
      </w:r>
      <w:proofErr w:type="spellStart"/>
      <w:r w:rsidRPr="005264B3">
        <w:rPr>
          <w:rFonts w:ascii="Times New Roman" w:hAnsi="Times New Roman" w:cs="Times New Roman"/>
          <w:lang w:val="bg-BG"/>
        </w:rPr>
        <w:t>собственовекторна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централност трябва да се интерпретира внимателно, защото може да концентрира почти цялата тежест в най-голямата компонента.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Реалната академична мрежа рядко е напълно свързана. Ако има множество малки компоненти и една по-голяма сърцевина, </w:t>
      </w:r>
      <w:proofErr w:type="spellStart"/>
      <w:r w:rsidRPr="005264B3">
        <w:rPr>
          <w:rFonts w:ascii="Times New Roman" w:hAnsi="Times New Roman" w:cs="Times New Roman"/>
          <w:lang w:val="bg-BG"/>
        </w:rPr>
        <w:t>собственовекторната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централност може механично да даде почти нулеви стойности на участници извън доминиращата компонента. Затова като проверка за устойчивост се въвежда Katz централност (Katz, 1953):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bg-BG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αWk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+</m:t>
          </m:r>
          <m:r>
            <w:rPr>
              <w:rFonts w:ascii="Cambria Math" w:hAnsi="Cambria Math" w:cs="Times New Roman"/>
              <w:lang w:val="bg-BG"/>
            </w:rPr>
            <m:t>β</m:t>
          </m:r>
          <m:r>
            <m:rPr>
              <m:sty m:val="b"/>
            </m:rPr>
            <w:rPr>
              <w:rFonts w:ascii="Cambria Math" w:hAnsi="Cambria Math" w:cs="Times New Roman"/>
              <w:lang w:val="bg-BG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чието решение е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bg-BG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bg-BG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bg-BG"/>
                    </w:rPr>
                    <m:t>-</m:t>
                  </m:r>
                  <m:r>
                    <w:rPr>
                      <w:rFonts w:ascii="Cambria Math" w:hAnsi="Cambria Math" w:cs="Times New Roman"/>
                      <w:lang w:val="bg-BG"/>
                    </w:rPr>
                    <m:t>αW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-</m:t>
              </m:r>
              <m:r>
                <w:rPr>
                  <w:rFonts w:ascii="Cambria Math" w:hAnsi="Cambria Math" w:cs="Times New Roman"/>
                  <w:lang w:val="bg-BG"/>
                </w:rPr>
                <m:t>1</m:t>
              </m:r>
            </m:sup>
          </m:sSup>
          <m:r>
            <w:rPr>
              <w:rFonts w:ascii="Cambria Math" w:hAnsi="Cambria Math" w:cs="Times New Roman"/>
              <w:lang w:val="bg-BG"/>
            </w:rPr>
            <m:t>β</m:t>
          </m:r>
          <m:r>
            <m:rPr>
              <m:sty m:val="b"/>
            </m:rPr>
            <w:rPr>
              <w:rFonts w:ascii="Cambria Math" w:hAnsi="Cambria Math" w:cs="Times New Roman"/>
              <w:lang w:val="bg-BG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  <m:r>
            <w:rPr>
              <w:rFonts w:ascii="Cambria Math" w:hAnsi="Cambria Math" w:cs="Times New Roman"/>
              <w:lang w:val="bg-BG"/>
            </w:rPr>
            <m:t>  0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&lt;</m:t>
          </m:r>
          <m:r>
            <w:rPr>
              <w:rFonts w:ascii="Cambria Math" w:hAnsi="Cambria Math" w:cs="Times New Roman"/>
              <w:lang w:val="bg-BG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&lt;</m:t>
          </m:r>
          <m:f>
            <m:fPr>
              <m:ctrlPr>
                <w:rPr>
                  <w:rFonts w:ascii="Cambria Math" w:hAnsi="Cambria Math" w:cs="Times New Roman"/>
                  <w:lang w:val="bg-BG"/>
                </w:rPr>
              </m:ctrlPr>
            </m:fPr>
            <m:num>
              <m:r>
                <w:rPr>
                  <w:rFonts w:ascii="Cambria Math" w:hAnsi="Cambria Math" w:cs="Times New Roman"/>
                  <w:lang w:val="bg-BG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bg-BG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Katz централността добавя базов статус </w:t>
      </w:r>
      <m:oMath>
        <m:r>
          <w:rPr>
            <w:rFonts w:ascii="Cambria Math" w:hAnsi="Cambria Math" w:cs="Times New Roman"/>
            <w:lang w:val="bg-BG"/>
          </w:rPr>
          <m:t>β</m:t>
        </m:r>
      </m:oMath>
      <w:r w:rsidRPr="005264B3">
        <w:rPr>
          <w:rFonts w:ascii="Times New Roman" w:hAnsi="Times New Roman" w:cs="Times New Roman"/>
          <w:lang w:val="bg-BG"/>
        </w:rPr>
        <w:t xml:space="preserve"> към всеки възел и след това натрупва директните и индиректните връзки, </w:t>
      </w:r>
      <w:proofErr w:type="spellStart"/>
      <w:r w:rsidRPr="005264B3">
        <w:rPr>
          <w:rFonts w:ascii="Times New Roman" w:hAnsi="Times New Roman" w:cs="Times New Roman"/>
          <w:lang w:val="bg-BG"/>
        </w:rPr>
        <w:t>дисконтирани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чрез </w:t>
      </w:r>
      <m:oMath>
        <m:r>
          <w:rPr>
            <w:rFonts w:ascii="Cambria Math" w:hAnsi="Cambria Math" w:cs="Times New Roman"/>
            <w:lang w:val="bg-BG"/>
          </w:rPr>
          <m:t>α</m:t>
        </m:r>
      </m:oMath>
      <w:r w:rsidRPr="005264B3">
        <w:rPr>
          <w:rFonts w:ascii="Times New Roman" w:hAnsi="Times New Roman" w:cs="Times New Roman"/>
          <w:lang w:val="bg-BG"/>
        </w:rPr>
        <w:t xml:space="preserve"> (Katz, 1953). Така дори участниците в малки компоненти не изчезват механично от анализа. В контекста на факултета това е полезно, защото позволява да се сравнява не само ядрото, но и периферните родословия.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Следващата стъпка е да се провери дали мрежовата позиция предсказва скоростта на академичното назначаване. Ако факултетът функционира като затворена система на възпроизводство, по-централните лица би трябвало да достигат до академична позиция по-бързо след доктората или дори преди формалното придобиване на степента (</w:t>
      </w:r>
      <w:proofErr w:type="spellStart"/>
      <w:r w:rsidRPr="005264B3">
        <w:rPr>
          <w:rFonts w:ascii="Times New Roman" w:hAnsi="Times New Roman" w:cs="Times New Roman"/>
          <w:lang w:val="bg-BG"/>
        </w:rPr>
        <w:t>Horta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2013; </w:t>
      </w:r>
      <w:proofErr w:type="spellStart"/>
      <w:r w:rsidRPr="005264B3">
        <w:rPr>
          <w:rFonts w:ascii="Times New Roman" w:hAnsi="Times New Roman" w:cs="Times New Roman"/>
          <w:lang w:val="bg-BG"/>
        </w:rPr>
        <w:t>Horta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et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al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., 2010; </w:t>
      </w:r>
      <w:proofErr w:type="spellStart"/>
      <w:r w:rsidRPr="005264B3">
        <w:rPr>
          <w:rFonts w:ascii="Times New Roman" w:hAnsi="Times New Roman" w:cs="Times New Roman"/>
          <w:lang w:val="bg-BG"/>
        </w:rPr>
        <w:t>İnanç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&amp; </w:t>
      </w:r>
      <w:proofErr w:type="spellStart"/>
      <w:r w:rsidRPr="005264B3">
        <w:rPr>
          <w:rFonts w:ascii="Times New Roman" w:hAnsi="Times New Roman" w:cs="Times New Roman"/>
          <w:lang w:val="bg-BG"/>
        </w:rPr>
        <w:t>Tuncer</w:t>
      </w:r>
      <w:proofErr w:type="spellEnd"/>
      <w:r w:rsidRPr="005264B3">
        <w:rPr>
          <w:rFonts w:ascii="Times New Roman" w:hAnsi="Times New Roman" w:cs="Times New Roman"/>
          <w:lang w:val="bg-BG"/>
        </w:rPr>
        <w:t>, 2011). Нека забавянето на назначението бъде дефинирано като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bg-BG"/>
                </w:rPr>
                <m:t>Delay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bg-BG"/>
                </w:rPr>
                <m:t>Hire_Date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-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bg-BG"/>
                </w:rPr>
                <m:t>PhD_Date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Отрицателна стойност означава, че лицето е назначено преди придобиването на докторската степен. Нулева или много малка стойност означава почти непосредствено институционално поглъщане. Базовият модел е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bg-BG"/>
                </w:rPr>
                <m:t>Delay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α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+</m:t>
          </m:r>
          <m:r>
            <w:rPr>
              <w:rFonts w:ascii="Cambria Math" w:hAnsi="Cambria Math" w:cs="Times New Roman"/>
              <w:lang w:val="bg-BG"/>
            </w:rPr>
            <m:t>β 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+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Z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'</m:t>
          </m:r>
          <m:r>
            <w:rPr>
              <w:rFonts w:ascii="Cambria Math" w:hAnsi="Cambria Math" w:cs="Times New Roman"/>
              <w:lang w:val="bg-BG"/>
            </w:rPr>
            <m:t>γ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+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lastRenderedPageBreak/>
        <w:t xml:space="preserve">където </w:t>
      </w:r>
      <m:oMath>
        <m:sSub>
          <m:sSubPr>
            <m:ctrlPr>
              <w:rPr>
                <w:rFonts w:ascii="Cambria Math" w:hAnsi="Cambria Math" w:cs="Times New Roman"/>
                <w:lang w:val="bg-BG"/>
              </w:rPr>
            </m:ctrlPr>
          </m:sSubPr>
          <m:e>
            <m:r>
              <w:rPr>
                <w:rFonts w:ascii="Cambria Math" w:hAnsi="Cambria Math" w:cs="Times New Roman"/>
                <w:lang w:val="bg-BG"/>
              </w:rPr>
              <m:t>C</m:t>
            </m:r>
          </m:e>
          <m:sub>
            <m:r>
              <w:rPr>
                <w:rFonts w:ascii="Cambria Math" w:hAnsi="Cambria Math" w:cs="Times New Roman"/>
                <w:lang w:val="bg-BG"/>
              </w:rPr>
              <m:t>i</m:t>
            </m:r>
          </m:sub>
        </m:sSub>
      </m:oMath>
      <w:r w:rsidRPr="005264B3">
        <w:rPr>
          <w:rFonts w:ascii="Times New Roman" w:hAnsi="Times New Roman" w:cs="Times New Roman"/>
          <w:lang w:val="bg-BG"/>
        </w:rPr>
        <w:t xml:space="preserve"> е мрежовата централност, а </w:t>
      </w:r>
      <m:oMath>
        <m:sSub>
          <m:sSubPr>
            <m:ctrlPr>
              <w:rPr>
                <w:rFonts w:ascii="Cambria Math" w:hAnsi="Cambria Math" w:cs="Times New Roman"/>
                <w:lang w:val="bg-BG"/>
              </w:rPr>
            </m:ctrlPr>
          </m:sSubPr>
          <m:e>
            <m:r>
              <w:rPr>
                <w:rFonts w:ascii="Cambria Math" w:hAnsi="Cambria Math" w:cs="Times New Roman"/>
                <w:lang w:val="bg-BG"/>
              </w:rPr>
              <m:t>Z</m:t>
            </m:r>
          </m:e>
          <m:sub>
            <m:r>
              <w:rPr>
                <w:rFonts w:ascii="Cambria Math" w:hAnsi="Cambria Math" w:cs="Times New Roman"/>
                <w:lang w:val="bg-BG"/>
              </w:rPr>
              <m:t>i</m:t>
            </m:r>
          </m:sub>
        </m:sSub>
      </m:oMath>
      <w:r w:rsidRPr="005264B3">
        <w:rPr>
          <w:rFonts w:ascii="Times New Roman" w:hAnsi="Times New Roman" w:cs="Times New Roman"/>
          <w:lang w:val="bg-BG"/>
        </w:rPr>
        <w:t xml:space="preserve"> включва контролни променливи като катедра, длъжност, кохорта и </w:t>
      </w:r>
      <w:proofErr w:type="spellStart"/>
      <w:r w:rsidRPr="005264B3">
        <w:rPr>
          <w:rFonts w:ascii="Times New Roman" w:hAnsi="Times New Roman" w:cs="Times New Roman"/>
          <w:lang w:val="bg-BG"/>
        </w:rPr>
        <w:t>публикационна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продуктивност. В матрична форма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bg-BG"/>
            </w:rPr>
            <m:t>y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α</m:t>
          </m:r>
          <m:r>
            <m:rPr>
              <m:sty m:val="b"/>
            </m:rPr>
            <w:rPr>
              <w:rFonts w:ascii="Cambria Math" w:hAnsi="Cambria Math" w:cs="Times New Roman"/>
              <w:lang w:val="bg-BG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+</m:t>
          </m:r>
          <m:r>
            <w:rPr>
              <w:rFonts w:ascii="Cambria Math" w:hAnsi="Cambria Math" w:cs="Times New Roman"/>
              <w:lang w:val="bg-BG"/>
            </w:rPr>
            <m:t>Cβ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+</m:t>
          </m:r>
          <m:r>
            <w:rPr>
              <w:rFonts w:ascii="Cambria Math" w:hAnsi="Cambria Math" w:cs="Times New Roman"/>
              <w:lang w:val="bg-BG"/>
            </w:rPr>
            <m:t>Zγ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+</m:t>
          </m:r>
          <m:r>
            <w:rPr>
              <w:rFonts w:ascii="Cambria Math" w:hAnsi="Cambria Math" w:cs="Times New Roman"/>
              <w:lang w:val="bg-BG"/>
            </w:rPr>
            <m:t>u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Хипотезата е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:</m:t>
          </m:r>
          <m:r>
            <w:rPr>
              <w:rFonts w:ascii="Cambria Math" w:hAnsi="Cambria Math" w:cs="Times New Roman"/>
              <w:lang w:val="bg-BG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  <m:r>
            <w:rPr>
              <w:rFonts w:ascii="Cambria Math" w:hAnsi="Cambria Math" w:cs="Times New Roman"/>
              <w:lang w:val="bg-BG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:</m:t>
          </m:r>
          <m:r>
            <w:rPr>
              <w:rFonts w:ascii="Cambria Math" w:hAnsi="Cambria Math" w:cs="Times New Roman"/>
              <w:lang w:val="bg-BG"/>
            </w:rPr>
            <m:t>β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&lt;</m:t>
          </m:r>
          <m:r>
            <w:rPr>
              <w:rFonts w:ascii="Cambria Math" w:hAnsi="Cambria Math" w:cs="Times New Roman"/>
              <w:lang w:val="bg-BG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Ако </w:t>
      </w:r>
      <m:oMath>
        <m:r>
          <w:rPr>
            <w:rFonts w:ascii="Cambria Math" w:hAnsi="Cambria Math" w:cs="Times New Roman"/>
            <w:lang w:val="bg-BG"/>
          </w:rPr>
          <m:t>β</m:t>
        </m:r>
      </m:oMath>
      <w:r w:rsidRPr="005264B3">
        <w:rPr>
          <w:rFonts w:ascii="Times New Roman" w:hAnsi="Times New Roman" w:cs="Times New Roman"/>
          <w:lang w:val="bg-BG"/>
        </w:rPr>
        <w:t xml:space="preserve"> е отрицателно, по-високата централност е свързана с по-кратко забавяне, тоест с по-бързо назначаване.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Тъй като интересуващата величина е време до събитие, подходяща допълнителна спецификация е моделът на пропорционалните рискове на Кокс (Cox, 1972). Този модел е свързан с фундаменталната реформа в академичните назначения от 2010 година. Тази реформа </w:t>
      </w:r>
      <w:proofErr w:type="spellStart"/>
      <w:r w:rsidRPr="005264B3">
        <w:rPr>
          <w:rFonts w:ascii="Times New Roman" w:hAnsi="Times New Roman" w:cs="Times New Roman"/>
          <w:lang w:val="bg-BG"/>
        </w:rPr>
        <w:t>постолулира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че всяко лице заемащо </w:t>
      </w:r>
      <w:proofErr w:type="spellStart"/>
      <w:r w:rsidRPr="005264B3">
        <w:rPr>
          <w:rFonts w:ascii="Times New Roman" w:hAnsi="Times New Roman" w:cs="Times New Roman"/>
          <w:lang w:val="bg-BG"/>
        </w:rPr>
        <w:t>нехаблитирана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академична длъжност “асистент” не може да остане на тази позиция за повече от 5 години без да е придобило докторска степен. Тази реформа отприщи множество опортюнистични стремежи за докторски титли и остана фундаментално недоизучена. Тук ние я “доизучаваме” посредством модела: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lang w:val="bg-BG"/>
            </w:rPr>
            <m:t>h</m:t>
          </m:r>
          <m:d>
            <m:dPr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lang w:val="bg-BG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bg-BG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lang w:val="bg-BG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exp</m:t>
          </m:r>
          <m:r>
            <w:rPr>
              <w:rFonts w:ascii="Cambria Math" w:hAnsi="Cambria Math" w:cs="Times New Roman"/>
              <w:lang w:val="bg-BG"/>
            </w:rPr>
            <m:t>​</m:t>
          </m:r>
          <m:d>
            <m:dPr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lang w:val="bg-BG"/>
                </w:rPr>
                <m:t>β </m:t>
              </m:r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bg-BG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+</m:t>
              </m:r>
              <m:r>
                <w:rPr>
                  <w:rFonts w:ascii="Cambria Math" w:hAnsi="Cambria Math" w:cs="Times New Roman"/>
                  <w:lang w:val="bg-BG"/>
                </w:rPr>
                <m:t>ω </m:t>
              </m:r>
              <m:r>
                <m:rPr>
                  <m:nor/>
                </m:rPr>
                <w:rPr>
                  <w:rFonts w:ascii="Times New Roman" w:hAnsi="Times New Roman" w:cs="Times New Roman"/>
                  <w:lang w:val="bg-BG"/>
                </w:rPr>
                <m:t>POST_2010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lang w:val="bg-BG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'</m:t>
              </m:r>
              <m:r>
                <w:rPr>
                  <w:rFonts w:ascii="Cambria Math" w:hAnsi="Cambria Math" w:cs="Times New Roman"/>
                  <w:lang w:val="bg-BG"/>
                </w:rPr>
                <m:t>γ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Тук </w:t>
      </w:r>
      <m:oMath>
        <m:r>
          <w:rPr>
            <w:rFonts w:ascii="Cambria Math" w:hAnsi="Cambria Math" w:cs="Times New Roman"/>
            <w:lang w:val="bg-BG"/>
          </w:rPr>
          <m:t>h</m:t>
        </m:r>
        <m:d>
          <m:dPr>
            <m:ctrlPr>
              <w:rPr>
                <w:rFonts w:ascii="Cambria Math" w:hAnsi="Cambria Math" w:cs="Times New Roman"/>
                <w:lang w:val="bg-BG"/>
              </w:rPr>
            </m:ctrlPr>
          </m:dPr>
          <m:e>
            <m:r>
              <w:rPr>
                <w:rFonts w:ascii="Cambria Math" w:hAnsi="Cambria Math" w:cs="Times New Roman"/>
                <w:lang w:val="bg-BG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lang w:val="bg-BG"/>
              </w:rPr>
              <m:t>∣</m:t>
            </m:r>
            <m:sSub>
              <m:sSubPr>
                <m:ctrlPr>
                  <w:rPr>
                    <w:rFonts w:ascii="Cambria Math" w:hAnsi="Cambria Math" w:cs="Times New Roman"/>
                    <w:lang w:val="bg-BG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bg-BG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lang w:val="bg-BG"/>
                  </w:rPr>
                  <m:t>i</m:t>
                </m:r>
              </m:sub>
            </m:sSub>
          </m:e>
        </m:d>
      </m:oMath>
      <w:r w:rsidRPr="005264B3">
        <w:rPr>
          <w:rFonts w:ascii="Times New Roman" w:hAnsi="Times New Roman" w:cs="Times New Roman"/>
          <w:lang w:val="bg-BG"/>
        </w:rPr>
        <w:t xml:space="preserve"> е моментната вероятност лицето да бъде назначено в момент </w:t>
      </w:r>
      <m:oMath>
        <m:r>
          <w:rPr>
            <w:rFonts w:ascii="Cambria Math" w:hAnsi="Cambria Math" w:cs="Times New Roman"/>
            <w:lang w:val="bg-BG"/>
          </w:rPr>
          <m:t>t</m:t>
        </m:r>
      </m:oMath>
      <w:r w:rsidRPr="005264B3">
        <w:rPr>
          <w:rFonts w:ascii="Times New Roman" w:hAnsi="Times New Roman" w:cs="Times New Roman"/>
          <w:lang w:val="bg-BG"/>
        </w:rPr>
        <w:t xml:space="preserve"> след доктората. Ако </w:t>
      </w:r>
      <m:oMath>
        <m:r>
          <m:rPr>
            <m:sty m:val="p"/>
          </m:rPr>
          <w:rPr>
            <w:rFonts w:ascii="Cambria Math" w:hAnsi="Cambria Math" w:cs="Times New Roman"/>
            <w:lang w:val="bg-BG"/>
          </w:rPr>
          <m:t>exp</m:t>
        </m:r>
        <m:d>
          <m:dPr>
            <m:ctrlPr>
              <w:rPr>
                <w:rFonts w:ascii="Cambria Math" w:hAnsi="Cambria Math" w:cs="Times New Roman"/>
                <w:lang w:val="bg-BG"/>
              </w:rPr>
            </m:ctrlPr>
          </m:dPr>
          <m:e>
            <m:r>
              <w:rPr>
                <w:rFonts w:ascii="Cambria Math" w:hAnsi="Cambria Math" w:cs="Times New Roman"/>
                <w:lang w:val="bg-BG"/>
              </w:rPr>
              <m:t>β</m:t>
            </m:r>
          </m:e>
        </m:d>
        <m:r>
          <m:rPr>
            <m:sty m:val="p"/>
          </m:rPr>
          <w:rPr>
            <w:rFonts w:ascii="Cambria Math" w:hAnsi="Cambria Math" w:cs="Times New Roman"/>
            <w:lang w:val="bg-BG"/>
          </w:rPr>
          <m:t>&gt;</m:t>
        </m:r>
        <m:r>
          <w:rPr>
            <w:rFonts w:ascii="Cambria Math" w:hAnsi="Cambria Math" w:cs="Times New Roman"/>
            <w:lang w:val="bg-BG"/>
          </w:rPr>
          <m:t>1</m:t>
        </m:r>
      </m:oMath>
      <w:r w:rsidRPr="005264B3">
        <w:rPr>
          <w:rFonts w:ascii="Times New Roman" w:hAnsi="Times New Roman" w:cs="Times New Roman"/>
          <w:lang w:val="bg-BG"/>
        </w:rPr>
        <w:t xml:space="preserve">, централността увеличава риска от назначаване във всеки момент, тоест ускорява академичното влизане. Ако </w:t>
      </w:r>
      <m:oMath>
        <m:r>
          <m:rPr>
            <m:sty m:val="p"/>
          </m:rPr>
          <w:rPr>
            <w:rFonts w:ascii="Cambria Math" w:hAnsi="Cambria Math" w:cs="Times New Roman"/>
            <w:lang w:val="bg-BG"/>
          </w:rPr>
          <m:t>exp</m:t>
        </m:r>
        <m:d>
          <m:dPr>
            <m:ctrlPr>
              <w:rPr>
                <w:rFonts w:ascii="Cambria Math" w:hAnsi="Cambria Math" w:cs="Times New Roman"/>
                <w:lang w:val="bg-BG"/>
              </w:rPr>
            </m:ctrlPr>
          </m:dPr>
          <m:e>
            <m:r>
              <w:rPr>
                <w:rFonts w:ascii="Cambria Math" w:hAnsi="Cambria Math" w:cs="Times New Roman"/>
                <w:lang w:val="bg-BG"/>
              </w:rPr>
              <m:t>β</m:t>
            </m:r>
          </m:e>
        </m:d>
        <m:r>
          <m:rPr>
            <m:sty m:val="p"/>
          </m:rPr>
          <w:rPr>
            <w:rFonts w:ascii="Cambria Math" w:hAnsi="Cambria Math" w:cs="Times New Roman"/>
            <w:lang w:val="bg-BG"/>
          </w:rPr>
          <m:t>&lt;</m:t>
        </m:r>
        <m:r>
          <w:rPr>
            <w:rFonts w:ascii="Cambria Math" w:hAnsi="Cambria Math" w:cs="Times New Roman"/>
            <w:lang w:val="bg-BG"/>
          </w:rPr>
          <m:t>1</m:t>
        </m:r>
      </m:oMath>
      <w:r w:rsidRPr="005264B3">
        <w:rPr>
          <w:rFonts w:ascii="Times New Roman" w:hAnsi="Times New Roman" w:cs="Times New Roman"/>
          <w:lang w:val="bg-BG"/>
        </w:rPr>
        <w:t xml:space="preserve">, централността е свързана с по-бавно влизане. </w:t>
      </w:r>
      <m:oMath>
        <m:r>
          <w:rPr>
            <w:rFonts w:ascii="Cambria Math" w:hAnsi="Cambria Math" w:cs="Times New Roman"/>
            <w:lang w:val="bg-BG"/>
          </w:rPr>
          <m:t>ω</m:t>
        </m:r>
      </m:oMath>
      <w:r w:rsidRPr="005264B3">
        <w:rPr>
          <w:rFonts w:ascii="Times New Roman" w:hAnsi="Times New Roman" w:cs="Times New Roman"/>
          <w:lang w:val="bg-BG"/>
        </w:rPr>
        <w:t xml:space="preserve"> измерва условия ефект от политическия шок през 2010 година.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Може да се въведе и бинарна променлива за бърза абсорбция: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m:rPr>
                  <m:nor/>
                </m:rPr>
                <w:rPr>
                  <w:rFonts w:ascii="Times New Roman" w:hAnsi="Times New Roman" w:cs="Times New Roman"/>
                  <w:lang w:val="bg-BG"/>
                </w:rPr>
                <m:t>Fast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ако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bg-BG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bg-BG"/>
                          </w:rPr>
                          <m:t>Delay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bg-BG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 година,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ако 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lang w:val="bg-BG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Times New Roman" w:hAnsi="Times New Roman" w:cs="Times New Roman"/>
                            <w:lang w:val="bg-BG"/>
                          </w:rPr>
                          <m:t>Delay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lang w:val="bg-BG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 година.</m:t>
                    </m:r>
                  </m:e>
                </m:mr>
              </m:m>
            </m:e>
          </m:d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Тогава логистичният модел е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Pr</m:t>
          </m:r>
          <m:d>
            <m:dPr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lang w:val="bg-BG"/>
                    </w:rPr>
                    <m:t>Fast</m:t>
                  </m:r>
                </m:e>
                <m:sub>
                  <m:r>
                    <w:rPr>
                      <w:rFonts w:ascii="Cambria Math" w:hAnsi="Cambria Math" w:cs="Times New Roman"/>
                      <w:lang w:val="bg-BG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=</m:t>
              </m:r>
              <m:r>
                <w:rPr>
                  <w:rFonts w:ascii="Cambria Math" w:hAnsi="Cambria Math" w:cs="Times New Roman"/>
                  <w:lang w:val="bg-BG"/>
                </w:rPr>
                <m:t>1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Λ​</m:t>
          </m:r>
          <m:d>
            <m:dPr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lang w:val="bg-BG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+</m:t>
              </m:r>
              <m:r>
                <w:rPr>
                  <w:rFonts w:ascii="Cambria Math" w:hAnsi="Cambria Math" w:cs="Times New Roman"/>
                  <w:lang w:val="bg-BG"/>
                </w:rPr>
                <m:t>β </m:t>
              </m:r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bg-BG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lang w:val="bg-BG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'</m:t>
              </m:r>
              <m:r>
                <w:rPr>
                  <w:rFonts w:ascii="Cambria Math" w:hAnsi="Cambria Math" w:cs="Times New Roman"/>
                  <w:lang w:val="bg-BG"/>
                </w:rPr>
                <m:t>γ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  <m:r>
            <w:rPr>
              <w:rFonts w:ascii="Cambria Math" w:hAnsi="Cambria Math" w:cs="Times New Roman"/>
              <w:lang w:val="bg-BG"/>
            </w:rPr>
            <m:t>  Λ</m:t>
          </m:r>
          <m:d>
            <m:dPr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r>
                <w:rPr>
                  <w:rFonts w:ascii="Cambria Math" w:hAnsi="Cambria Math" w:cs="Times New Roman"/>
                  <w:lang w:val="bg-BG"/>
                </w:rPr>
                <m:t>z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bg-BG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val="bg-BG"/>
                    </w:rPr>
                    <m:t>z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lang w:val="bg-BG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lang w:val="bg-BG"/>
                    </w:rPr>
                    <m:t>z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lastRenderedPageBreak/>
        <w:t xml:space="preserve">Мрежата трябва да участва не само в обяснителните променливи, но и в оценката на стандартните грешки през </w:t>
      </w:r>
      <w:proofErr w:type="spellStart"/>
      <w:r w:rsidRPr="005264B3">
        <w:rPr>
          <w:rFonts w:ascii="Times New Roman" w:hAnsi="Times New Roman" w:cs="Times New Roman"/>
          <w:lang w:val="bg-BG"/>
        </w:rPr>
        <w:t>ковариационната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матрица (</w:t>
      </w:r>
      <w:proofErr w:type="spellStart"/>
      <w:r w:rsidRPr="005264B3">
        <w:rPr>
          <w:rFonts w:ascii="Times New Roman" w:hAnsi="Times New Roman" w:cs="Times New Roman"/>
          <w:lang w:val="bg-BG"/>
        </w:rPr>
        <w:t>Conley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1999; </w:t>
      </w:r>
      <w:proofErr w:type="spellStart"/>
      <w:r w:rsidRPr="005264B3">
        <w:rPr>
          <w:rFonts w:ascii="Times New Roman" w:hAnsi="Times New Roman" w:cs="Times New Roman"/>
          <w:lang w:val="bg-BG"/>
        </w:rPr>
        <w:t>Kojevnikov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et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al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., 2021). Не може да се допусне, че академичните лица в стопанския факултет са независими наблюдения. Двама души, свързани чрез общ ръководител, общо жури или една и съща мрежова компонента, могат да имат </w:t>
      </w:r>
      <w:proofErr w:type="spellStart"/>
      <w:r w:rsidRPr="005264B3">
        <w:rPr>
          <w:rFonts w:ascii="Times New Roman" w:hAnsi="Times New Roman" w:cs="Times New Roman"/>
          <w:lang w:val="bg-BG"/>
        </w:rPr>
        <w:t>корелирани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ненаблюдавани характеристики. Затова стандартната </w:t>
      </w:r>
      <w:proofErr w:type="spellStart"/>
      <w:r w:rsidRPr="005264B3">
        <w:rPr>
          <w:rFonts w:ascii="Times New Roman" w:hAnsi="Times New Roman" w:cs="Times New Roman"/>
          <w:lang w:val="bg-BG"/>
        </w:rPr>
        <w:t>ковариационна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матрица може да бъде коригирана чрез мрежова зависимост.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Нека </w:t>
      </w:r>
      <m:oMath>
        <m:r>
          <w:rPr>
            <w:rFonts w:ascii="Cambria Math" w:hAnsi="Cambria Math" w:cs="Times New Roman"/>
            <w:lang w:val="bg-BG"/>
          </w:rPr>
          <m:t>g</m:t>
        </m:r>
        <m:d>
          <m:dPr>
            <m:ctrlPr>
              <w:rPr>
                <w:rFonts w:ascii="Cambria Math" w:hAnsi="Cambria Math" w:cs="Times New Roman"/>
                <w:lang w:val="bg-BG"/>
              </w:rPr>
            </m:ctrlPr>
          </m:dPr>
          <m:e>
            <m:r>
              <w:rPr>
                <w:rFonts w:ascii="Cambria Math" w:hAnsi="Cambria Math" w:cs="Times New Roman"/>
                <w:lang w:val="bg-BG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lang w:val="bg-BG"/>
              </w:rPr>
              <m:t>,</m:t>
            </m:r>
            <m:r>
              <w:rPr>
                <w:rFonts w:ascii="Cambria Math" w:hAnsi="Cambria Math" w:cs="Times New Roman"/>
                <w:lang w:val="bg-BG"/>
              </w:rPr>
              <m:t>j</m:t>
            </m:r>
          </m:e>
        </m:d>
      </m:oMath>
      <w:r w:rsidRPr="005264B3">
        <w:rPr>
          <w:rFonts w:ascii="Times New Roman" w:hAnsi="Times New Roman" w:cs="Times New Roman"/>
          <w:lang w:val="bg-BG"/>
        </w:rPr>
        <w:t xml:space="preserve"> е най-краткото мрежово разстояние между </w:t>
      </w:r>
      <m:oMath>
        <m:r>
          <w:rPr>
            <w:rFonts w:ascii="Cambria Math" w:hAnsi="Cambria Math" w:cs="Times New Roman"/>
            <w:lang w:val="bg-BG"/>
          </w:rPr>
          <m:t>i</m:t>
        </m:r>
      </m:oMath>
      <w:r w:rsidRPr="005264B3">
        <w:rPr>
          <w:rFonts w:ascii="Times New Roman" w:hAnsi="Times New Roman" w:cs="Times New Roman"/>
          <w:lang w:val="bg-BG"/>
        </w:rPr>
        <w:t xml:space="preserve"> и </w:t>
      </w:r>
      <m:oMath>
        <m:r>
          <w:rPr>
            <w:rFonts w:ascii="Cambria Math" w:hAnsi="Cambria Math" w:cs="Times New Roman"/>
            <w:lang w:val="bg-BG"/>
          </w:rPr>
          <m:t>j</m:t>
        </m:r>
      </m:oMath>
      <w:r w:rsidRPr="005264B3">
        <w:rPr>
          <w:rFonts w:ascii="Times New Roman" w:hAnsi="Times New Roman" w:cs="Times New Roman"/>
          <w:lang w:val="bg-BG"/>
        </w:rPr>
        <w:t>. Дефинираме ядро на зависимост: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ако 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lang w:val="bg-BG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bg-BG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val="bg-BG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lang w:val="bg-BG"/>
                          </w:rP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≤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lang w:val="bg-BG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lang w:val="bg-BG"/>
                      </w:rPr>
                      <m:t xml:space="preserve">ако 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g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lang w:val="bg-BG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bg-BG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lang w:val="bg-BG"/>
                          </w:rPr>
                          <m:t>,</m:t>
                        </m:r>
                        <m:r>
                          <w:rPr>
                            <w:rFonts w:ascii="Cambria Math" w:hAnsi="Cambria Math" w:cs="Times New Roman"/>
                            <w:lang w:val="bg-BG"/>
                          </w:rP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&gt;</m:t>
                    </m:r>
                    <m:r>
                      <w:rPr>
                        <w:rFonts w:ascii="Cambria Math" w:hAnsi="Cambria Math" w:cs="Times New Roman"/>
                        <w:lang w:val="bg-BG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lang w:val="bg-BG"/>
                      </w:rPr>
                      <m:t>,</m:t>
                    </m:r>
                  </m:e>
                </m:mr>
              </m:m>
            </m:e>
          </m:d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или затихващо ядро: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r>
                <w:rPr>
                  <w:rFonts w:ascii="Cambria Math" w:hAnsi="Cambria Math" w:cs="Times New Roman"/>
                  <w:lang w:val="bg-BG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lang w:val="bg-BG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bg-BG"/>
                </w:rPr>
              </m:ctrlPr>
            </m:sSupPr>
            <m:e>
              <m:r>
                <w:rPr>
                  <w:rFonts w:ascii="Cambria Math" w:hAnsi="Cambria Math" w:cs="Times New Roman"/>
                  <w:lang w:val="bg-BG"/>
                </w:rPr>
                <m:t>ρ</m:t>
              </m:r>
            </m:e>
            <m:sup>
              <m:r>
                <w:rPr>
                  <w:rFonts w:ascii="Cambria Math" w:hAnsi="Cambria Math" w:cs="Times New Roman"/>
                  <w:lang w:val="bg-BG"/>
                </w:rPr>
                <m:t> g</m:t>
              </m:r>
              <m:d>
                <m:d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bg-BG"/>
                    </w:rPr>
                    <m:t>,</m:t>
                  </m:r>
                  <m:r>
                    <w:rPr>
                      <w:rFonts w:ascii="Cambria Math" w:hAnsi="Cambria Math" w:cs="Times New Roman"/>
                      <w:lang w:val="bg-BG"/>
                    </w:rPr>
                    <m:t>j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  <m:r>
            <w:rPr>
              <w:rFonts w:ascii="Cambria Math" w:hAnsi="Cambria Math" w:cs="Times New Roman"/>
              <w:lang w:val="bg-BG"/>
            </w:rPr>
            <m:t>  0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&lt;</m:t>
          </m:r>
          <m:r>
            <w:rPr>
              <w:rFonts w:ascii="Cambria Math" w:hAnsi="Cambria Math" w:cs="Times New Roman"/>
              <w:lang w:val="bg-BG"/>
            </w:rPr>
            <m:t>ρ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&lt;</m:t>
          </m:r>
          <m:r>
            <w:rPr>
              <w:rFonts w:ascii="Cambria Math" w:hAnsi="Cambria Math" w:cs="Times New Roman"/>
              <w:lang w:val="bg-BG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Ако </w:t>
      </w:r>
      <m:oMath>
        <m:acc>
          <m:accPr>
            <m:ctrlPr>
              <w:rPr>
                <w:rFonts w:ascii="Cambria Math" w:hAnsi="Cambria Math" w:cs="Times New Roman"/>
                <w:lang w:val="bg-BG"/>
              </w:rPr>
            </m:ctrlPr>
          </m:accPr>
          <m:e>
            <m:r>
              <w:rPr>
                <w:rFonts w:ascii="Cambria Math" w:hAnsi="Cambria Math" w:cs="Times New Roman"/>
                <w:lang w:val="bg-BG"/>
              </w:rPr>
              <m:t>u</m:t>
            </m:r>
          </m:e>
        </m:acc>
      </m:oMath>
      <w:r w:rsidRPr="005264B3">
        <w:rPr>
          <w:rFonts w:ascii="Times New Roman" w:hAnsi="Times New Roman" w:cs="Times New Roman"/>
          <w:lang w:val="bg-BG"/>
        </w:rPr>
        <w:t xml:space="preserve"> е векторът на остатъците, мрежовата ковариационна структура може да се запише като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Ω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lang w:val="bg-BG"/>
                </w:rPr>
                <m:t>net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r>
            <w:rPr>
              <w:rFonts w:ascii="Cambria Math" w:hAnsi="Cambria Math" w:cs="Times New Roman"/>
              <w:lang w:val="bg-BG"/>
            </w:rPr>
            <m:t>K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∘</m:t>
          </m:r>
          <m:d>
            <m:dPr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u</m:t>
                  </m:r>
                </m:e>
              </m:acc>
              <m:acc>
                <m:acc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u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'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,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където </w:t>
      </w:r>
      <m:oMath>
        <m:r>
          <m:rPr>
            <m:sty m:val="p"/>
          </m:rPr>
          <w:rPr>
            <w:rFonts w:ascii="Cambria Math" w:hAnsi="Cambria Math" w:cs="Times New Roman"/>
            <w:lang w:val="bg-BG"/>
          </w:rPr>
          <m:t>∘</m:t>
        </m:r>
      </m:oMath>
      <w:r w:rsidRPr="005264B3">
        <w:rPr>
          <w:rFonts w:ascii="Times New Roman" w:hAnsi="Times New Roman" w:cs="Times New Roman"/>
          <w:lang w:val="bg-BG"/>
        </w:rPr>
        <w:t xml:space="preserve"> е произведение на Адамар. За линеен модел мрежово-устойчивата вариационно-</w:t>
      </w:r>
      <w:proofErr w:type="spellStart"/>
      <w:r w:rsidRPr="005264B3">
        <w:rPr>
          <w:rFonts w:ascii="Times New Roman" w:hAnsi="Times New Roman" w:cs="Times New Roman"/>
          <w:lang w:val="bg-BG"/>
        </w:rPr>
        <w:t>ковариационна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матрица е (</w:t>
      </w:r>
      <w:proofErr w:type="spellStart"/>
      <w:r w:rsidRPr="005264B3">
        <w:rPr>
          <w:rFonts w:ascii="Times New Roman" w:hAnsi="Times New Roman" w:cs="Times New Roman"/>
          <w:lang w:val="bg-BG"/>
        </w:rPr>
        <w:t>Conley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1999; </w:t>
      </w:r>
      <w:proofErr w:type="spellStart"/>
      <w:r w:rsidRPr="005264B3">
        <w:rPr>
          <w:rFonts w:ascii="Times New Roman" w:hAnsi="Times New Roman" w:cs="Times New Roman"/>
          <w:lang w:val="bg-BG"/>
        </w:rPr>
        <w:t>Kojevnikov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et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al</w:t>
      </w:r>
      <w:proofErr w:type="spellEnd"/>
      <w:r w:rsidRPr="005264B3">
        <w:rPr>
          <w:rFonts w:ascii="Times New Roman" w:hAnsi="Times New Roman" w:cs="Times New Roman"/>
          <w:lang w:val="bg-BG"/>
        </w:rPr>
        <w:t>., 2021)</w:t>
      </w:r>
    </w:p>
    <w:p w:rsidR="00DE307F" w:rsidRPr="005264B3" w:rsidRDefault="004E5654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acc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lang w:val="bg-BG"/>
                    </w:rPr>
                    <m:t>Var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lang w:val="bg-BG"/>
                </w:rPr>
                <m:t>net</m:t>
              </m:r>
            </m:sub>
          </m:sSub>
          <m:d>
            <m:dPr>
              <m:ctrlPr>
                <w:rPr>
                  <w:rFonts w:ascii="Cambria Math" w:hAnsi="Cambria Math" w:cs="Times New Roman"/>
                  <w:lang w:val="bg-BG"/>
                </w:rPr>
              </m:ctrlPr>
            </m:dPr>
            <m:e>
              <m:acc>
                <m:acc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θ</m:t>
                  </m:r>
                </m:e>
              </m:acc>
            </m:e>
          </m:d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=</m:t>
          </m:r>
          <m:sSup>
            <m:sSupPr>
              <m:ctrlPr>
                <w:rPr>
                  <w:rFonts w:ascii="Cambria Math" w:hAnsi="Cambria Math" w:cs="Times New Roman"/>
                  <w:lang w:val="bg-BG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bg-BG"/>
                    </w:rPr>
                    <m:t>'</m:t>
                  </m:r>
                  <m:r>
                    <w:rPr>
                      <w:rFonts w:ascii="Cambria Math" w:hAnsi="Cambria Math" w:cs="Times New Roman"/>
                      <w:lang w:val="bg-BG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-</m:t>
              </m:r>
              <m:r>
                <w:rPr>
                  <w:rFonts w:ascii="Cambria Math" w:hAnsi="Cambria Math" w:cs="Times New Roman"/>
                  <w:lang w:val="bg-BG"/>
                </w:rPr>
                <m:t>1</m:t>
              </m:r>
            </m:sup>
          </m:sSup>
          <m:r>
            <w:rPr>
              <w:rFonts w:ascii="Cambria Math" w:hAnsi="Cambria Math" w:cs="Times New Roman"/>
              <w:lang w:val="bg-BG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'</m:t>
          </m:r>
          <m:r>
            <w:rPr>
              <w:rFonts w:ascii="Cambria Math" w:hAnsi="Cambria Math" w:cs="Times New Roman"/>
              <w:lang w:val="bg-BG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lang w:val="bg-BG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Ω</m:t>
                  </m:r>
                </m:e>
              </m:acc>
            </m:e>
            <m:sub>
              <m:r>
                <m:rPr>
                  <m:nor/>
                </m:rPr>
                <w:rPr>
                  <w:rFonts w:ascii="Times New Roman" w:hAnsi="Times New Roman" w:cs="Times New Roman"/>
                  <w:lang w:val="bg-BG"/>
                </w:rPr>
                <m:t>net</m:t>
              </m:r>
            </m:sub>
          </m:sSub>
          <m:r>
            <w:rPr>
              <w:rFonts w:ascii="Cambria Math" w:hAnsi="Cambria Math" w:cs="Times New Roman"/>
              <w:lang w:val="bg-BG"/>
            </w:rPr>
            <m:t> X </m:t>
          </m:r>
          <m:sSup>
            <m:sSupPr>
              <m:ctrlPr>
                <w:rPr>
                  <w:rFonts w:ascii="Cambria Math" w:hAnsi="Cambria Math" w:cs="Times New Roman"/>
                  <w:lang w:val="bg-BG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lang w:val="bg-BG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lang w:val="bg-BG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lang w:val="bg-BG"/>
                    </w:rPr>
                    <m:t>'</m:t>
                  </m:r>
                  <m:r>
                    <w:rPr>
                      <w:rFonts w:ascii="Cambria Math" w:hAnsi="Cambria Math" w:cs="Times New Roman"/>
                      <w:lang w:val="bg-BG"/>
                    </w:rPr>
                    <m:t>X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lang w:val="bg-BG"/>
                </w:rPr>
                <m:t>-</m:t>
              </m:r>
              <m:r>
                <w:rPr>
                  <w:rFonts w:ascii="Cambria Math" w:hAnsi="Cambria Math" w:cs="Times New Roman"/>
                  <w:lang w:val="bg-BG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lang w:val="bg-BG"/>
            </w:rPr>
            <m:t>.</m:t>
          </m:r>
        </m:oMath>
      </m:oMathPara>
    </w:p>
    <w:p w:rsidR="00DE307F" w:rsidRPr="005264B3" w:rsidRDefault="00421DEC" w:rsidP="005264B3">
      <w:pPr>
        <w:pStyle w:val="FirstParagraph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>Тази корекция променя стандартните грешки и следователно силата на статистическите изводи. Това е особено важно при малка извадка и при мрежови данни, където независимостта на наблюденията е силно допускане.</w:t>
      </w:r>
    </w:p>
    <w:p w:rsidR="00DE307F" w:rsidRPr="005264B3" w:rsidRDefault="00421DEC" w:rsidP="005264B3">
      <w:pPr>
        <w:pStyle w:val="BodyText"/>
        <w:spacing w:line="360" w:lineRule="auto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  <w:lang w:val="bg-BG"/>
        </w:rPr>
        <w:t xml:space="preserve">Емпиричната стратегия може да се организира в пет последователни теста. Първо, изчисляват се </w:t>
      </w:r>
      <w:proofErr w:type="spellStart"/>
      <w:r w:rsidRPr="005264B3">
        <w:rPr>
          <w:rFonts w:ascii="Times New Roman" w:hAnsi="Times New Roman" w:cs="Times New Roman"/>
          <w:lang w:val="bg-BG"/>
        </w:rPr>
        <w:t>централностите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от мрежата на ръководства и журита. Тази мрежа е най-подходяща за анализ на скоростта на назначаване, защото възниква около дисертацията и е по-малко изложена на обратна каузалност. Второ, проверява се дали централността предсказва вероятността едно лице да бъде вътрешно (инбрийдинг) назначение (</w:t>
      </w:r>
      <w:proofErr w:type="spellStart"/>
      <w:r w:rsidRPr="005264B3">
        <w:rPr>
          <w:rFonts w:ascii="Times New Roman" w:hAnsi="Times New Roman" w:cs="Times New Roman"/>
          <w:lang w:val="bg-BG"/>
        </w:rPr>
        <w:t>Horta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et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al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., 2010; </w:t>
      </w:r>
      <w:proofErr w:type="spellStart"/>
      <w:r w:rsidRPr="005264B3">
        <w:rPr>
          <w:rFonts w:ascii="Times New Roman" w:hAnsi="Times New Roman" w:cs="Times New Roman"/>
          <w:lang w:val="bg-BG"/>
        </w:rPr>
        <w:t>İnanç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&amp; </w:t>
      </w:r>
      <w:proofErr w:type="spellStart"/>
      <w:r w:rsidRPr="005264B3">
        <w:rPr>
          <w:rFonts w:ascii="Times New Roman" w:hAnsi="Times New Roman" w:cs="Times New Roman"/>
          <w:lang w:val="bg-BG"/>
        </w:rPr>
        <w:t>Tuncer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2011). Трето, проверява се дали централността предсказва </w:t>
      </w:r>
      <w:r w:rsidRPr="005264B3">
        <w:rPr>
          <w:rFonts w:ascii="Times New Roman" w:hAnsi="Times New Roman" w:cs="Times New Roman"/>
          <w:lang w:val="bg-BG"/>
        </w:rPr>
        <w:lastRenderedPageBreak/>
        <w:t>забавянето между докторантура и назначение. Четвърто, същата хипотеза се тества чрез Cox модел (Cox, 1972). Пето, резултатите се проверяват с мрежово коригирани стандартни грешки (</w:t>
      </w:r>
      <w:proofErr w:type="spellStart"/>
      <w:r w:rsidRPr="005264B3">
        <w:rPr>
          <w:rFonts w:ascii="Times New Roman" w:hAnsi="Times New Roman" w:cs="Times New Roman"/>
          <w:lang w:val="bg-BG"/>
        </w:rPr>
        <w:t>Conley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, 1999; </w:t>
      </w:r>
      <w:proofErr w:type="spellStart"/>
      <w:r w:rsidRPr="005264B3">
        <w:rPr>
          <w:rFonts w:ascii="Times New Roman" w:hAnsi="Times New Roman" w:cs="Times New Roman"/>
          <w:lang w:val="bg-BG"/>
        </w:rPr>
        <w:t>Kojevnikov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et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</w:t>
      </w:r>
      <w:proofErr w:type="spellStart"/>
      <w:r w:rsidRPr="005264B3">
        <w:rPr>
          <w:rFonts w:ascii="Times New Roman" w:hAnsi="Times New Roman" w:cs="Times New Roman"/>
          <w:lang w:val="bg-BG"/>
        </w:rPr>
        <w:t>al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., 2021). Съществено е да се уточни и че централността трябва да бъде измерена чрез връзки, които са наблюдаеми преди или около назначаването. Ако се използват по-късни </w:t>
      </w:r>
      <w:proofErr w:type="spellStart"/>
      <w:r w:rsidRPr="005264B3">
        <w:rPr>
          <w:rFonts w:ascii="Times New Roman" w:hAnsi="Times New Roman" w:cs="Times New Roman"/>
          <w:lang w:val="bg-BG"/>
        </w:rPr>
        <w:t>съавторства</w:t>
      </w:r>
      <w:proofErr w:type="spellEnd"/>
      <w:r w:rsidRPr="005264B3">
        <w:rPr>
          <w:rFonts w:ascii="Times New Roman" w:hAnsi="Times New Roman" w:cs="Times New Roman"/>
          <w:lang w:val="bg-BG"/>
        </w:rPr>
        <w:t xml:space="preserve"> (както при други статии), може да се получи обратна каузалност, тъй като човекът не е назначен бързо, защото е централен, а става централен, защото вече е назначен (</w:t>
      </w:r>
      <w:proofErr w:type="spellStart"/>
      <w:r w:rsidRPr="005264B3">
        <w:rPr>
          <w:rFonts w:ascii="Times New Roman" w:hAnsi="Times New Roman" w:cs="Times New Roman"/>
          <w:lang w:val="bg-BG"/>
        </w:rPr>
        <w:t>Horta</w:t>
      </w:r>
      <w:proofErr w:type="spellEnd"/>
      <w:r w:rsidRPr="005264B3">
        <w:rPr>
          <w:rFonts w:ascii="Times New Roman" w:hAnsi="Times New Roman" w:cs="Times New Roman"/>
          <w:lang w:val="bg-BG"/>
        </w:rPr>
        <w:t>, 2013).</w:t>
      </w:r>
    </w:p>
    <w:p w:rsidR="00DE307F" w:rsidRPr="005264B3" w:rsidRDefault="00421DEC" w:rsidP="005264B3">
      <w:pPr>
        <w:pStyle w:val="Heading2"/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3" w:name="литература"/>
      <w:bookmarkEnd w:id="1"/>
      <w:r w:rsidRPr="005264B3">
        <w:rPr>
          <w:rFonts w:ascii="Times New Roman" w:hAnsi="Times New Roman" w:cs="Times New Roman"/>
          <w:sz w:val="24"/>
          <w:szCs w:val="24"/>
        </w:rPr>
        <w:t>Литература</w:t>
      </w:r>
    </w:p>
    <w:p w:rsidR="00DE307F" w:rsidRPr="005264B3" w:rsidRDefault="00421DEC" w:rsidP="005264B3">
      <w:pPr>
        <w:pStyle w:val="FirstParagraph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</w:rPr>
        <w:t xml:space="preserve">Barrat, A., Barthélemy, M., Pastor-Satorras, R., &amp; Vespignani, A. (2004). The architecture of complex weighted networks. </w:t>
      </w:r>
      <w:r w:rsidRPr="005264B3">
        <w:rPr>
          <w:rFonts w:ascii="Times New Roman" w:hAnsi="Times New Roman" w:cs="Times New Roman"/>
          <w:i/>
          <w:iCs/>
        </w:rPr>
        <w:t>Proceedings of the National Academy of Sciences, 101</w:t>
      </w:r>
      <w:r w:rsidRPr="005264B3">
        <w:rPr>
          <w:rFonts w:ascii="Times New Roman" w:hAnsi="Times New Roman" w:cs="Times New Roman"/>
        </w:rPr>
        <w:t xml:space="preserve">(11), 3747–3752. </w:t>
      </w:r>
      <w:hyperlink r:id="rId8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https://doi.org/10.1073/pnas.0400087101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proofErr w:type="spellStart"/>
      <w:r w:rsidRPr="005264B3">
        <w:rPr>
          <w:rFonts w:ascii="Times New Roman" w:hAnsi="Times New Roman" w:cs="Times New Roman"/>
        </w:rPr>
        <w:t>Bonacich</w:t>
      </w:r>
      <w:proofErr w:type="spellEnd"/>
      <w:r w:rsidRPr="005264B3">
        <w:rPr>
          <w:rFonts w:ascii="Times New Roman" w:hAnsi="Times New Roman" w:cs="Times New Roman"/>
        </w:rPr>
        <w:t xml:space="preserve">, P. (1972). Factoring and weighting approaches to status scores and clique identification. </w:t>
      </w:r>
      <w:r w:rsidRPr="005264B3">
        <w:rPr>
          <w:rFonts w:ascii="Times New Roman" w:hAnsi="Times New Roman" w:cs="Times New Roman"/>
          <w:i/>
          <w:iCs/>
        </w:rPr>
        <w:t>The Journal of Mathematical Sociology, 2</w:t>
      </w:r>
      <w:r w:rsidRPr="005264B3">
        <w:rPr>
          <w:rFonts w:ascii="Times New Roman" w:hAnsi="Times New Roman" w:cs="Times New Roman"/>
        </w:rPr>
        <w:t xml:space="preserve">(1), 113–120. </w:t>
      </w:r>
      <w:hyperlink r:id="rId9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https://doi.org/10.1080/0022250X.1972.9989806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</w:rPr>
        <w:t xml:space="preserve">Conley, T. G. (1999). GMM estimation with cross sectional dependence. </w:t>
      </w:r>
      <w:r w:rsidRPr="005264B3">
        <w:rPr>
          <w:rFonts w:ascii="Times New Roman" w:hAnsi="Times New Roman" w:cs="Times New Roman"/>
          <w:i/>
          <w:iCs/>
        </w:rPr>
        <w:t>Journal of Econometrics, 92</w:t>
      </w:r>
      <w:r w:rsidRPr="005264B3">
        <w:rPr>
          <w:rFonts w:ascii="Times New Roman" w:hAnsi="Times New Roman" w:cs="Times New Roman"/>
        </w:rPr>
        <w:t xml:space="preserve">(1), 1–45. </w:t>
      </w:r>
      <w:hyperlink r:id="rId10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https://doi.org/10.1016/S0304-4076(98)00084-0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</w:rPr>
        <w:t xml:space="preserve">Cox, D. R. (1972). Regression models and life-tables. </w:t>
      </w:r>
      <w:r w:rsidRPr="005264B3">
        <w:rPr>
          <w:rFonts w:ascii="Times New Roman" w:hAnsi="Times New Roman" w:cs="Times New Roman"/>
          <w:i/>
          <w:iCs/>
        </w:rPr>
        <w:t>Journal of the Royal Statistical Society: Series B (Methodological), 34</w:t>
      </w:r>
      <w:r w:rsidRPr="005264B3">
        <w:rPr>
          <w:rFonts w:ascii="Times New Roman" w:hAnsi="Times New Roman" w:cs="Times New Roman"/>
        </w:rPr>
        <w:t xml:space="preserve">(2), 187–202. </w:t>
      </w:r>
      <w:hyperlink r:id="rId11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https://doi.org/10.1111/j.2517-6161.1972.tb00899.x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</w:rPr>
        <w:t xml:space="preserve">Freeman, L. C. (1978). Centrality in social networks conceptual clarification. </w:t>
      </w:r>
      <w:r w:rsidRPr="005264B3">
        <w:rPr>
          <w:rFonts w:ascii="Times New Roman" w:hAnsi="Times New Roman" w:cs="Times New Roman"/>
          <w:i/>
          <w:iCs/>
        </w:rPr>
        <w:t>Social Networks, 1</w:t>
      </w:r>
      <w:r w:rsidRPr="005264B3">
        <w:rPr>
          <w:rFonts w:ascii="Times New Roman" w:hAnsi="Times New Roman" w:cs="Times New Roman"/>
        </w:rPr>
        <w:t xml:space="preserve">(3), 215–239. </w:t>
      </w:r>
      <w:hyperlink r:id="rId12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https://doi.org/10.1016/0378-8733(78)90021-7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</w:rPr>
        <w:t xml:space="preserve">Horta, H. (2013). Deepening our understanding of academic inbreeding effects on research information exchange and scientific output: New insights for academic based research. </w:t>
      </w:r>
      <w:r w:rsidRPr="005264B3">
        <w:rPr>
          <w:rFonts w:ascii="Times New Roman" w:hAnsi="Times New Roman" w:cs="Times New Roman"/>
          <w:i/>
          <w:iCs/>
        </w:rPr>
        <w:t>Higher Education, 65</w:t>
      </w:r>
      <w:r w:rsidRPr="005264B3">
        <w:rPr>
          <w:rFonts w:ascii="Times New Roman" w:hAnsi="Times New Roman" w:cs="Times New Roman"/>
        </w:rPr>
        <w:t xml:space="preserve">(4), 487–510. </w:t>
      </w:r>
      <w:hyperlink r:id="rId13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https://doi.org/10.1007/s10734-012-9559-7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</w:rPr>
        <w:t xml:space="preserve">Horta, H., Veloso, F. M., &amp; Grediaga, R. (2010). Navel gazing: Academic inbreeding and scientific productivity. </w:t>
      </w:r>
      <w:r w:rsidRPr="005264B3">
        <w:rPr>
          <w:rFonts w:ascii="Times New Roman" w:hAnsi="Times New Roman" w:cs="Times New Roman"/>
          <w:i/>
          <w:iCs/>
        </w:rPr>
        <w:t>Management Science, 56</w:t>
      </w:r>
      <w:r w:rsidRPr="005264B3">
        <w:rPr>
          <w:rFonts w:ascii="Times New Roman" w:hAnsi="Times New Roman" w:cs="Times New Roman"/>
        </w:rPr>
        <w:t xml:space="preserve">(3), 414–429. </w:t>
      </w:r>
      <w:hyperlink r:id="rId14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https://doi.org/10.1287/mnsc.1090.1109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proofErr w:type="spellStart"/>
      <w:r w:rsidRPr="005264B3">
        <w:rPr>
          <w:rFonts w:ascii="Times New Roman" w:hAnsi="Times New Roman" w:cs="Times New Roman"/>
        </w:rPr>
        <w:lastRenderedPageBreak/>
        <w:t>İnanç</w:t>
      </w:r>
      <w:proofErr w:type="spellEnd"/>
      <w:r w:rsidRPr="005264B3">
        <w:rPr>
          <w:rFonts w:ascii="Times New Roman" w:hAnsi="Times New Roman" w:cs="Times New Roman"/>
        </w:rPr>
        <w:t xml:space="preserve">, Ö., &amp; Tuncer, Ö. (2011). The effect of academic inbreeding on scientific effectiveness. </w:t>
      </w:r>
      <w:r w:rsidRPr="005264B3">
        <w:rPr>
          <w:rFonts w:ascii="Times New Roman" w:hAnsi="Times New Roman" w:cs="Times New Roman"/>
          <w:i/>
          <w:iCs/>
        </w:rPr>
        <w:t>Scientometrics, 88</w:t>
      </w:r>
      <w:r w:rsidRPr="005264B3">
        <w:rPr>
          <w:rFonts w:ascii="Times New Roman" w:hAnsi="Times New Roman" w:cs="Times New Roman"/>
        </w:rPr>
        <w:t xml:space="preserve">(3), 885–898. </w:t>
      </w:r>
      <w:hyperlink r:id="rId15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https://doi.org/10.1007/s11192-011-0415-9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</w:rPr>
        <w:t xml:space="preserve">Katz, L. (1953). A new status index derived from sociometric analysis. </w:t>
      </w:r>
      <w:r w:rsidRPr="005264B3">
        <w:rPr>
          <w:rFonts w:ascii="Times New Roman" w:hAnsi="Times New Roman" w:cs="Times New Roman"/>
          <w:i/>
          <w:iCs/>
        </w:rPr>
        <w:t>Psychometrika, 18</w:t>
      </w:r>
      <w:r w:rsidRPr="005264B3">
        <w:rPr>
          <w:rFonts w:ascii="Times New Roman" w:hAnsi="Times New Roman" w:cs="Times New Roman"/>
        </w:rPr>
        <w:t xml:space="preserve">(1), 39–43. </w:t>
      </w:r>
      <w:hyperlink r:id="rId16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https://doi.org/10.1007/BF02289026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proofErr w:type="spellStart"/>
      <w:r w:rsidRPr="005264B3">
        <w:rPr>
          <w:rFonts w:ascii="Times New Roman" w:hAnsi="Times New Roman" w:cs="Times New Roman"/>
        </w:rPr>
        <w:t>Kojevnikov</w:t>
      </w:r>
      <w:proofErr w:type="spellEnd"/>
      <w:r w:rsidRPr="005264B3">
        <w:rPr>
          <w:rFonts w:ascii="Times New Roman" w:hAnsi="Times New Roman" w:cs="Times New Roman"/>
        </w:rPr>
        <w:t xml:space="preserve">, D., Marmer, V., &amp; Song, K. (2021). Limit theorems for network dependent random variables. </w:t>
      </w:r>
      <w:r w:rsidRPr="005264B3">
        <w:rPr>
          <w:rFonts w:ascii="Times New Roman" w:hAnsi="Times New Roman" w:cs="Times New Roman"/>
          <w:i/>
          <w:iCs/>
        </w:rPr>
        <w:t>Journal of Econometrics, 222</w:t>
      </w:r>
      <w:r w:rsidRPr="005264B3">
        <w:rPr>
          <w:rFonts w:ascii="Times New Roman" w:hAnsi="Times New Roman" w:cs="Times New Roman"/>
        </w:rPr>
        <w:t xml:space="preserve">(2), 882–908. </w:t>
      </w:r>
      <w:hyperlink r:id="rId17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https://doi.org/10.1016/j.jeconom.2020.05.019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</w:p>
    <w:p w:rsidR="00DE307F" w:rsidRPr="005264B3" w:rsidRDefault="00421DEC" w:rsidP="005264B3">
      <w:pPr>
        <w:pStyle w:val="BodyText"/>
        <w:spacing w:line="360" w:lineRule="auto"/>
        <w:ind w:left="720" w:hanging="720"/>
        <w:rPr>
          <w:rFonts w:ascii="Times New Roman" w:hAnsi="Times New Roman" w:cs="Times New Roman"/>
          <w:lang w:val="bg-BG"/>
        </w:rPr>
      </w:pPr>
      <w:r w:rsidRPr="005264B3">
        <w:rPr>
          <w:rFonts w:ascii="Times New Roman" w:hAnsi="Times New Roman" w:cs="Times New Roman"/>
        </w:rPr>
        <w:t xml:space="preserve">Newman, M. E. J. (2010). </w:t>
      </w:r>
      <w:r w:rsidRPr="005264B3">
        <w:rPr>
          <w:rFonts w:ascii="Times New Roman" w:hAnsi="Times New Roman" w:cs="Times New Roman"/>
          <w:i/>
          <w:iCs/>
        </w:rPr>
        <w:t>Networks: An introduction</w:t>
      </w:r>
      <w:r w:rsidRPr="005264B3">
        <w:rPr>
          <w:rFonts w:ascii="Times New Roman" w:hAnsi="Times New Roman" w:cs="Times New Roman"/>
        </w:rPr>
        <w:t xml:space="preserve">. Oxford University Press. </w:t>
      </w:r>
      <w:hyperlink r:id="rId18" w:history="1">
        <w:r w:rsidR="007100D9" w:rsidRPr="005264B3">
          <w:rPr>
            <w:rStyle w:val="Hyperlink"/>
            <w:rFonts w:ascii="Times New Roman" w:hAnsi="Times New Roman" w:cs="Times New Roman"/>
          </w:rPr>
          <w:t>https://doi.org/10.1093/acprof:oso/9780199206650.001.0001</w:t>
        </w:r>
      </w:hyperlink>
      <w:r w:rsidR="007100D9" w:rsidRPr="005264B3">
        <w:rPr>
          <w:rFonts w:ascii="Times New Roman" w:hAnsi="Times New Roman" w:cs="Times New Roman"/>
          <w:lang w:val="bg-BG"/>
        </w:rPr>
        <w:t xml:space="preserve"> </w:t>
      </w:r>
      <w:bookmarkEnd w:id="0"/>
      <w:bookmarkEnd w:id="3"/>
    </w:p>
    <w:sectPr w:rsidR="00DE307F" w:rsidRPr="005264B3"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5654" w:rsidRDefault="004E5654">
      <w:pPr>
        <w:spacing w:after="0"/>
      </w:pPr>
      <w:r>
        <w:separator/>
      </w:r>
    </w:p>
  </w:endnote>
  <w:endnote w:type="continuationSeparator" w:id="0">
    <w:p w:rsidR="004E5654" w:rsidRDefault="004E565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5654" w:rsidRDefault="004E5654">
      <w:r>
        <w:separator/>
      </w:r>
    </w:p>
  </w:footnote>
  <w:footnote w:type="continuationSeparator" w:id="0">
    <w:p w:rsidR="004E5654" w:rsidRDefault="004E5654">
      <w:r>
        <w:continuationSeparator/>
      </w:r>
    </w:p>
  </w:footnote>
  <w:footnote w:id="1">
    <w:p w:rsidR="00DE307F" w:rsidRDefault="00421DEC">
      <w:pPr>
        <w:pStyle w:val="FootnoteText"/>
      </w:pPr>
      <w:r>
        <w:rPr>
          <w:rStyle w:val="FootnoteReference"/>
        </w:rPr>
        <w:footnoteRef/>
      </w:r>
      <w:r>
        <w:t xml:space="preserve"> Да се чете като приложение към главата “Свързани отвътре: мрежи, родословия и академично възпроизводство” на книгата “Стопанският факултет на СУ: успешен или провален експеримент на демокрацията” от Стойчо Русинов.</w:t>
      </w:r>
    </w:p>
  </w:footnote>
  <w:footnote w:id="2">
    <w:p w:rsidR="00DE307F" w:rsidRDefault="00421DEC">
      <w:pPr>
        <w:pStyle w:val="FootnoteText"/>
      </w:pPr>
      <w:r>
        <w:rPr>
          <w:rStyle w:val="FootnoteReference"/>
        </w:rPr>
        <w:footnoteRef/>
      </w:r>
      <w:r>
        <w:t xml:space="preserve"> Този казус е докумнтиран тук като в деня на това въздигане същия няма нито една публикация в WOS (виж тук), a в Scopus е на практика неоткриваем, защото няма нито една статия).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E23E0A0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7F"/>
    <w:rsid w:val="001D2655"/>
    <w:rsid w:val="00360A02"/>
    <w:rsid w:val="00421DEC"/>
    <w:rsid w:val="004E5654"/>
    <w:rsid w:val="005264B3"/>
    <w:rsid w:val="007100D9"/>
    <w:rsid w:val="00D57AB8"/>
    <w:rsid w:val="00DE307F"/>
    <w:rsid w:val="00EA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4EF26"/>
  <w15:docId w15:val="{B736C113-D3F7-41BD-A79A-B911D90A2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10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73/pnas.0400087101" TargetMode="External"/><Relationship Id="rId13" Type="http://schemas.openxmlformats.org/officeDocument/2006/relationships/hyperlink" Target="https://doi.org/10.1007/s10734-012-9559-7" TargetMode="External"/><Relationship Id="rId18" Type="http://schemas.openxmlformats.org/officeDocument/2006/relationships/hyperlink" Target="https://doi.org/10.1093/acprof:oso/9780199206650.001.000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i.org/10.1016/0378-8733(78)90021-7" TargetMode="External"/><Relationship Id="rId17" Type="http://schemas.openxmlformats.org/officeDocument/2006/relationships/hyperlink" Target="https://doi.org/10.1016/j.jeconom.2020.05.019" TargetMode="External"/><Relationship Id="rId2" Type="http://schemas.openxmlformats.org/officeDocument/2006/relationships/styles" Target="styles.xml"/><Relationship Id="rId16" Type="http://schemas.openxmlformats.org/officeDocument/2006/relationships/hyperlink" Target="https://doi.org/10.1007/BF02289026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111/j.2517-6161.1972.tb00899.x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i.org/10.1007/s11192-011-0415-9" TargetMode="External"/><Relationship Id="rId10" Type="http://schemas.openxmlformats.org/officeDocument/2006/relationships/hyperlink" Target="https://doi.org/10.1016/S0304-4076(98)00084-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80/0022250X.1972.9989806" TargetMode="External"/><Relationship Id="rId14" Type="http://schemas.openxmlformats.org/officeDocument/2006/relationships/hyperlink" Target="https://doi.org/10.1287/mnsc.1090.11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2247</Words>
  <Characters>12808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Stoycho Rusinov</dc:creator>
  <cp:keywords/>
  <cp:lastModifiedBy>Stoycho Rusinov</cp:lastModifiedBy>
  <cp:revision>5</cp:revision>
  <dcterms:created xsi:type="dcterms:W3CDTF">2026-06-07T14:50:00Z</dcterms:created>
  <dcterms:modified xsi:type="dcterms:W3CDTF">2026-06-22T11:56:00Z</dcterms:modified>
</cp:coreProperties>
</file>