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583" w:rsidRPr="0077317E" w:rsidRDefault="00EF5210" w:rsidP="0077317E">
      <w:pPr>
        <w:spacing w:line="360" w:lineRule="auto"/>
        <w:jc w:val="center"/>
        <w:rPr>
          <w:rFonts w:asciiTheme="majorHAnsi" w:hAnsiTheme="majorHAnsi" w:cstheme="majorHAnsi"/>
          <w:b/>
          <w:sz w:val="36"/>
          <w:u w:val="single"/>
          <w:lang w:val="bg-BG"/>
        </w:rPr>
      </w:pPr>
      <w:r w:rsidRPr="0077317E">
        <w:rPr>
          <w:rFonts w:asciiTheme="majorHAnsi" w:hAnsiTheme="majorHAnsi" w:cstheme="majorHAnsi"/>
          <w:b/>
          <w:sz w:val="36"/>
          <w:u w:val="single"/>
          <w:lang w:val="bg-BG"/>
        </w:rPr>
        <w:t>Приложение А1</w:t>
      </w:r>
    </w:p>
    <w:p w:rsidR="0077317E" w:rsidRPr="004432E5" w:rsidRDefault="0077317E" w:rsidP="0077317E">
      <w:pPr>
        <w:spacing w:line="360" w:lineRule="auto"/>
        <w:jc w:val="center"/>
        <w:rPr>
          <w:rFonts w:asciiTheme="majorHAnsi" w:hAnsiTheme="majorHAnsi" w:cstheme="majorHAnsi"/>
          <w:b/>
          <w:i/>
          <w:sz w:val="24"/>
          <w:lang w:val="bg-BG"/>
        </w:rPr>
      </w:pPr>
      <w:r w:rsidRPr="004432E5">
        <w:rPr>
          <w:rFonts w:asciiTheme="majorHAnsi" w:hAnsiTheme="majorHAnsi" w:cstheme="majorHAnsi"/>
          <w:b/>
          <w:i/>
          <w:sz w:val="24"/>
          <w:lang w:val="bg-BG"/>
        </w:rPr>
        <w:t>Приложение на теорията на мрежите за устойчива иконометрична оценка на ефектите от академичния инбрийдинг</w:t>
      </w:r>
      <w:r w:rsidRPr="004432E5">
        <w:rPr>
          <w:rStyle w:val="FootnoteReference"/>
          <w:rFonts w:asciiTheme="majorHAnsi" w:hAnsiTheme="majorHAnsi" w:cstheme="majorHAnsi"/>
          <w:b/>
          <w:i/>
          <w:sz w:val="24"/>
          <w:lang w:val="bg-BG"/>
        </w:rPr>
        <w:footnoteReference w:id="1"/>
      </w:r>
    </w:p>
    <w:p w:rsidR="0077317E" w:rsidRPr="0077317E" w:rsidRDefault="0077317E" w:rsidP="0077317E">
      <w:pPr>
        <w:spacing w:line="360" w:lineRule="auto"/>
        <w:jc w:val="center"/>
        <w:rPr>
          <w:rFonts w:asciiTheme="majorHAnsi" w:hAnsiTheme="majorHAnsi" w:cstheme="majorHAnsi"/>
          <w:lang w:val="bg-BG"/>
        </w:rPr>
      </w:pPr>
    </w:p>
    <w:p w:rsidR="00EF5210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Нека академичната система бъде представена като претеглен неориентиран граф</w:t>
      </w:r>
      <w:r w:rsidR="0077317E">
        <w:rPr>
          <w:rFonts w:asciiTheme="majorHAnsi" w:hAnsiTheme="majorHAnsi" w:cstheme="majorHAnsi"/>
          <w:lang w:val="bg-BG"/>
        </w:rPr>
        <w:t xml:space="preserve"> </w:t>
      </w:r>
      <m:oMath>
        <m:r>
          <w:rPr>
            <w:rFonts w:ascii="Cambria Math" w:hAnsi="Cambria Math" w:cstheme="majorHAnsi"/>
            <w:lang w:val="bg-BG"/>
          </w:rPr>
          <m:t>G = (V, E, W)</m:t>
        </m:r>
      </m:oMath>
      <w:r w:rsidR="0077317E">
        <w:rPr>
          <w:rFonts w:asciiTheme="majorHAnsi" w:hAnsiTheme="majorHAnsi" w:cstheme="majorHAnsi"/>
          <w:lang w:val="bg-BG"/>
        </w:rPr>
        <w:t>,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където </w:t>
      </w:r>
      <m:oMath>
        <m:r>
          <w:rPr>
            <w:rFonts w:ascii="Cambria Math" w:hAnsi="Cambria Math" w:cstheme="majorHAnsi"/>
            <w:lang w:val="bg-BG"/>
          </w:rPr>
          <m:t>V</m:t>
        </m:r>
      </m:oMath>
      <w:r w:rsidRPr="0077317E">
        <w:rPr>
          <w:rFonts w:asciiTheme="majorHAnsi" w:hAnsiTheme="majorHAnsi" w:cstheme="majorHAnsi"/>
          <w:lang w:val="bg-BG"/>
        </w:rPr>
        <w:t xml:space="preserve"> е множеството </w:t>
      </w:r>
      <w:r w:rsidR="00EF5210" w:rsidRPr="0077317E">
        <w:rPr>
          <w:rFonts w:asciiTheme="majorHAnsi" w:hAnsiTheme="majorHAnsi" w:cstheme="majorHAnsi"/>
          <w:lang w:val="bg-BG"/>
        </w:rPr>
        <w:t>на академичния състав (хабилитирани и нехабилитирани лица),</w:t>
      </w:r>
      <w:r w:rsidRPr="0077317E">
        <w:rPr>
          <w:rFonts w:asciiTheme="majorHAnsi" w:hAnsiTheme="majorHAnsi" w:cstheme="majorHAnsi"/>
          <w:lang w:val="bg-BG"/>
        </w:rPr>
        <w:t xml:space="preserve"> </w:t>
      </w:r>
      <m:oMath>
        <m:r>
          <w:rPr>
            <w:rFonts w:ascii="Cambria Math" w:hAnsi="Cambria Math" w:cstheme="majorHAnsi"/>
            <w:lang w:val="bg-BG"/>
          </w:rPr>
          <m:t>E</m:t>
        </m:r>
      </m:oMath>
      <w:r w:rsidRPr="0077317E">
        <w:rPr>
          <w:rFonts w:asciiTheme="majorHAnsi" w:hAnsiTheme="majorHAnsi" w:cstheme="majorHAnsi"/>
          <w:lang w:val="bg-BG"/>
        </w:rPr>
        <w:t xml:space="preserve"> е множеството от наблюдавани академични отношения, а </w:t>
      </w:r>
      <m:oMath>
        <m:r>
          <w:rPr>
            <w:rFonts w:ascii="Cambria Math" w:hAnsi="Cambria Math" w:cstheme="majorHAnsi"/>
            <w:lang w:val="bg-BG"/>
          </w:rPr>
          <m:t>W</m:t>
        </m:r>
      </m:oMath>
      <w:r w:rsidRPr="0077317E">
        <w:rPr>
          <w:rFonts w:asciiTheme="majorHAnsi" w:hAnsiTheme="majorHAnsi" w:cstheme="majorHAnsi"/>
          <w:lang w:val="bg-BG"/>
        </w:rPr>
        <w:t xml:space="preserve"> е претеглената матрица на връзките. Ако има n академични лица, тогава:</w:t>
      </w:r>
    </w:p>
    <w:p w:rsidR="00EF5210" w:rsidRPr="0005343E" w:rsidRDefault="00EF5210" w:rsidP="0077317E">
      <w:pPr>
        <w:spacing w:line="360" w:lineRule="auto"/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 xml:space="preserve">V = </m:t>
          </m:r>
          <m:d>
            <m:dPr>
              <m:begChr m:val="{"/>
              <m:endChr m:val="}"/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dPr>
            <m:e>
              <m:r>
                <w:rPr>
                  <w:rFonts w:ascii="Cambria Math" w:hAnsi="Cambria Math" w:cstheme="majorHAnsi"/>
                  <w:lang w:val="bg-BG"/>
                </w:rPr>
                <m:t>1, 2, ..., n</m:t>
              </m:r>
            </m:e>
          </m:d>
          <m:r>
            <w:rPr>
              <w:rFonts w:ascii="Cambria Math" w:hAnsi="Cambria Math" w:cstheme="majorHAnsi"/>
              <w:lang w:val="bg-BG"/>
            </w:rPr>
            <m:t>,        W=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ij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theme="majorHAnsi"/>
                  <w:lang w:val="bg-BG"/>
                </w:rPr>
                <m:t>n×n</m:t>
              </m:r>
            </m:sub>
          </m:sSub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Елементът </w:t>
      </w:r>
      <m:oMath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w</m:t>
            </m:r>
          </m:e>
          <m:sub>
            <m:r>
              <w:rPr>
                <w:rFonts w:ascii="Cambria Math" w:hAnsi="Cambria Math" w:cstheme="majorHAnsi"/>
                <w:lang w:val="bg-BG"/>
              </w:rPr>
              <m:t>ij</m:t>
            </m:r>
          </m:sub>
        </m:sSub>
        <m:r>
          <w:rPr>
            <w:rFonts w:ascii="Cambria Math" w:hAnsi="Cambria Math" w:cstheme="majorHAnsi"/>
            <w:lang w:val="bg-BG"/>
          </w:rPr>
          <m:t xml:space="preserve"> </m:t>
        </m:r>
      </m:oMath>
      <w:r w:rsidRPr="0077317E">
        <w:rPr>
          <w:rFonts w:asciiTheme="majorHAnsi" w:hAnsiTheme="majorHAnsi" w:cstheme="majorHAnsi"/>
          <w:lang w:val="bg-BG"/>
        </w:rPr>
        <w:t xml:space="preserve">измерва силата на академичната връзка между лице </w:t>
      </w:r>
      <m:oMath>
        <m:r>
          <w:rPr>
            <w:rFonts w:ascii="Cambria Math" w:hAnsi="Cambria Math" w:cstheme="majorHAnsi"/>
            <w:lang w:val="bg-BG"/>
          </w:rPr>
          <m:t xml:space="preserve">i </m:t>
        </m:r>
      </m:oMath>
      <w:r w:rsidRPr="0077317E">
        <w:rPr>
          <w:rFonts w:asciiTheme="majorHAnsi" w:hAnsiTheme="majorHAnsi" w:cstheme="majorHAnsi"/>
          <w:lang w:val="bg-BG"/>
        </w:rPr>
        <w:t xml:space="preserve">и лице </w:t>
      </w:r>
      <m:oMath>
        <m:r>
          <w:rPr>
            <w:rFonts w:ascii="Cambria Math" w:hAnsi="Cambria Math" w:cstheme="majorHAnsi"/>
            <w:lang w:val="bg-BG"/>
          </w:rPr>
          <m:t>j</m:t>
        </m:r>
      </m:oMath>
      <w:r w:rsidRPr="0077317E">
        <w:rPr>
          <w:rFonts w:asciiTheme="majorHAnsi" w:hAnsiTheme="majorHAnsi" w:cstheme="majorHAnsi"/>
          <w:lang w:val="bg-BG"/>
        </w:rPr>
        <w:t>. В базовата спецификация се използва следното кодиране:</w:t>
      </w:r>
    </w:p>
    <w:p w:rsidR="00EF5210" w:rsidRPr="0005343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bg-BG"/>
                    </w:rPr>
                    <m:t xml:space="preserve">=1,   ако i е научен ръковдител на j или обратното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bg-BG"/>
                    </w:rPr>
                    <m:t>=0.5,   ако i участва в научно жури на j или обратното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bg-BG"/>
                    </w:rPr>
                    <m:t xml:space="preserve">=0,   ако между i и j няма наблюдаема връзка                 </m:t>
                  </m:r>
                </m:e>
              </m:eqArr>
            </m:e>
          </m:d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Ако между две лица има повече от една връзка, тежестите могат да се сумират:</w:t>
      </w:r>
    </w:p>
    <w:p w:rsidR="00EF5210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w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ij</m:t>
              </m:r>
            </m:sub>
          </m:sSub>
          <m:r>
            <w:rPr>
              <w:rFonts w:ascii="Cambria Math" w:hAnsi="Cambria Math" w:cstheme="majorHAnsi"/>
              <w:lang w:val="bg-BG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s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ij</m:t>
              </m:r>
            </m:sub>
          </m:sSub>
          <m:r>
            <w:rPr>
              <w:rFonts w:ascii="Cambria Math" w:hAnsi="Cambria Math" w:cstheme="majorHAnsi"/>
              <w:lang w:val="bg-BG"/>
            </w:rPr>
            <m:t xml:space="preserve">+0.5 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q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ij</m:t>
              </m:r>
            </m:sub>
          </m:sSub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където </w:t>
      </w:r>
      <m:oMath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s</m:t>
            </m:r>
          </m:e>
          <m:sub>
            <m:r>
              <w:rPr>
                <w:rFonts w:ascii="Cambria Math" w:hAnsi="Cambria Math" w:cstheme="majorHAnsi"/>
                <w:lang w:val="bg-BG"/>
              </w:rPr>
              <m:t>ij</m:t>
            </m:r>
          </m:sub>
        </m:sSub>
      </m:oMath>
      <w:r w:rsidRPr="0077317E">
        <w:rPr>
          <w:rFonts w:asciiTheme="majorHAnsi" w:hAnsiTheme="majorHAnsi" w:cstheme="majorHAnsi"/>
          <w:lang w:val="bg-BG"/>
        </w:rPr>
        <w:t xml:space="preserve"> е броят на отношенията научен ръководител-докторант между </w:t>
      </w:r>
      <m:oMath>
        <m:r>
          <w:rPr>
            <w:rFonts w:ascii="Cambria Math" w:hAnsi="Cambria Math" w:cstheme="majorHAnsi"/>
            <w:lang w:val="bg-BG"/>
          </w:rPr>
          <m:t xml:space="preserve">i </m:t>
        </m:r>
      </m:oMath>
      <w:r w:rsidRPr="0077317E">
        <w:rPr>
          <w:rFonts w:asciiTheme="majorHAnsi" w:hAnsiTheme="majorHAnsi" w:cstheme="majorHAnsi"/>
          <w:lang w:val="bg-BG"/>
        </w:rPr>
        <w:t xml:space="preserve">и </w:t>
      </w:r>
      <m:oMath>
        <m:r>
          <w:rPr>
            <w:rFonts w:ascii="Cambria Math" w:hAnsi="Cambria Math" w:cstheme="majorHAnsi"/>
            <w:lang w:val="bg-BG"/>
          </w:rPr>
          <m:t>j</m:t>
        </m:r>
      </m:oMath>
      <w:r w:rsidRPr="0077317E">
        <w:rPr>
          <w:rFonts w:asciiTheme="majorHAnsi" w:hAnsiTheme="majorHAnsi" w:cstheme="majorHAnsi"/>
          <w:lang w:val="bg-BG"/>
        </w:rPr>
        <w:t xml:space="preserve">, а </w:t>
      </w:r>
      <m:oMath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q</m:t>
            </m:r>
          </m:e>
          <m:sub>
            <m:r>
              <w:rPr>
                <w:rFonts w:ascii="Cambria Math" w:hAnsi="Cambria Math" w:cstheme="majorHAnsi"/>
                <w:lang w:val="bg-BG"/>
              </w:rPr>
              <m:t>ij</m:t>
            </m:r>
          </m:sub>
        </m:sSub>
      </m:oMath>
      <w:r w:rsidRPr="0077317E">
        <w:rPr>
          <w:rFonts w:asciiTheme="majorHAnsi" w:hAnsiTheme="majorHAnsi" w:cstheme="majorHAnsi"/>
          <w:lang w:val="bg-BG"/>
        </w:rPr>
        <w:t xml:space="preserve"> е броят на отношенията жури-докторант. При неориентирана мрежа важи:</w:t>
      </w:r>
    </w:p>
    <w:p w:rsidR="00EF5210" w:rsidRPr="0077317E" w:rsidRDefault="00EF5210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 xml:space="preserve">W = W',   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w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ii</m:t>
              </m:r>
            </m:sub>
          </m:sSub>
          <m:r>
            <w:rPr>
              <w:rFonts w:ascii="Cambria Math" w:hAnsi="Cambria Math" w:cstheme="majorHAnsi"/>
              <w:lang w:val="bg-BG"/>
            </w:rPr>
            <m:t xml:space="preserve"> = 0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Това е важно, защото матрицата не допуска реторична неяснота. Ако дадена академична траектория минава през ръководител, жури и вътрешен орган, тази траектория оставя следа в W. Така родословието се превръща в обект на изчисление.</w:t>
      </w:r>
    </w:p>
    <w:p w:rsidR="00674583" w:rsidRPr="0077317E" w:rsidRDefault="005554FD" w:rsidP="0077317E">
      <w:pPr>
        <w:spacing w:line="360" w:lineRule="auto"/>
        <w:ind w:firstLine="283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Да разгледаме пет академични лица A, B, C, D и E. A е научен ръководител на B и C. B участва в журито на D. D е научен ръководител на E. Тогава претеглената матрица на връзките е:</w:t>
      </w:r>
    </w:p>
    <w:p w:rsidR="0077317E" w:rsidRPr="0077317E" w:rsidRDefault="0077317E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w:lastRenderedPageBreak/>
            <m:t>W=</m:t>
          </m:r>
          <w:bookmarkStart w:id="0" w:name="_GoBack"/>
          <w:bookmarkEnd w:id="0"/>
          <m:d>
            <m:d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  <w:lang w:val="bg-BG"/>
                      </w:rPr>
                      <m:t xml:space="preserve"> 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lang w:val="bg-BG"/>
                      </w:rPr>
                      <m:t>A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lang w:val="bg-BG"/>
                      </w:rPr>
                      <m:t>C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lang w:val="bg-BG"/>
                      </w:rPr>
                      <m:t>D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E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B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1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0.5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 w:cstheme="majorHAnsi"/>
                        <w:lang w:val="bg-BG"/>
                      </w:rPr>
                      <m:t>1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B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0.5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1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theme="majorHAnsi"/>
                        <w:lang w:val="bg-BG"/>
                      </w:rPr>
                      <m:t>E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1</m:t>
                    </m:r>
                    <m:ctrlPr>
                      <w:rPr>
                        <w:rFonts w:ascii="Cambria Math" w:eastAsia="Cambria Math" w:hAnsi="Cambria Math" w:cstheme="majorHAnsi"/>
                        <w:i/>
                        <w:lang w:val="bg-BG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HAnsi"/>
                        <w:lang w:val="bg-BG"/>
                      </w:rPr>
                      <m:t>0</m:t>
                    </m:r>
                  </m:e>
                </m:mr>
              </m:m>
            </m:e>
          </m:d>
        </m:oMath>
      </m:oMathPara>
    </w:p>
    <w:p w:rsidR="00217CD2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Този пример показва разликата между директна и индиректна </w:t>
      </w:r>
      <w:proofErr w:type="spellStart"/>
      <w:r w:rsidRPr="0077317E">
        <w:rPr>
          <w:rFonts w:asciiTheme="majorHAnsi" w:hAnsiTheme="majorHAnsi" w:cstheme="majorHAnsi"/>
          <w:lang w:val="bg-BG"/>
        </w:rPr>
        <w:t>вграденост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</w:t>
      </w:r>
      <m:oMath>
        <m:r>
          <m:rPr>
            <m:sty m:val="bi"/>
          </m:rPr>
          <w:rPr>
            <w:rFonts w:ascii="Cambria Math" w:hAnsi="Cambria Math" w:cstheme="majorHAnsi"/>
            <w:lang w:val="bg-BG"/>
          </w:rPr>
          <m:t>A</m:t>
        </m:r>
      </m:oMath>
      <w:r w:rsidRPr="0077317E">
        <w:rPr>
          <w:rFonts w:asciiTheme="majorHAnsi" w:hAnsiTheme="majorHAnsi" w:cstheme="majorHAnsi"/>
          <w:lang w:val="bg-BG"/>
        </w:rPr>
        <w:t xml:space="preserve"> има силни преки връзки, защото е ръководител на двама докторанти. </w:t>
      </w:r>
      <m:oMath>
        <m:r>
          <m:rPr>
            <m:sty m:val="bi"/>
          </m:rPr>
          <w:rPr>
            <w:rFonts w:ascii="Cambria Math" w:hAnsi="Cambria Math" w:cstheme="majorHAnsi"/>
            <w:lang w:val="bg-BG"/>
          </w:rPr>
          <m:t>D</m:t>
        </m:r>
      </m:oMath>
      <w:r w:rsidRPr="0077317E">
        <w:rPr>
          <w:rFonts w:asciiTheme="majorHAnsi" w:hAnsiTheme="majorHAnsi" w:cstheme="majorHAnsi"/>
          <w:lang w:val="bg-BG"/>
        </w:rPr>
        <w:t xml:space="preserve"> също има две връзки, но една от тях е по-слаба, защото е връзка през жури. </w:t>
      </w:r>
      <m:oMath>
        <m:r>
          <m:rPr>
            <m:sty m:val="bi"/>
          </m:rPr>
          <w:rPr>
            <w:rFonts w:ascii="Cambria Math" w:hAnsi="Cambria Math" w:cstheme="majorHAnsi"/>
            <w:lang w:val="bg-BG"/>
          </w:rPr>
          <m:t>C</m:t>
        </m:r>
      </m:oMath>
      <w:r w:rsidRPr="0077317E">
        <w:rPr>
          <w:rFonts w:asciiTheme="majorHAnsi" w:hAnsiTheme="majorHAnsi" w:cstheme="majorHAnsi"/>
          <w:lang w:val="bg-BG"/>
        </w:rPr>
        <w:t xml:space="preserve"> има само една връзка, но тази връзка води към </w:t>
      </w:r>
      <m:oMath>
        <m:r>
          <m:rPr>
            <m:sty m:val="bi"/>
          </m:rPr>
          <w:rPr>
            <w:rFonts w:ascii="Cambria Math" w:hAnsi="Cambria Math" w:cstheme="majorHAnsi"/>
            <w:lang w:val="bg-BG"/>
          </w:rPr>
          <m:t>A</m:t>
        </m:r>
      </m:oMath>
      <w:r w:rsidRPr="0077317E">
        <w:rPr>
          <w:rFonts w:asciiTheme="majorHAnsi" w:hAnsiTheme="majorHAnsi" w:cstheme="majorHAnsi"/>
          <w:lang w:val="bg-BG"/>
        </w:rPr>
        <w:t>, който е централен. Точно тук възниква въпросът дали е важно само колко връзки има дадено лице, или и към кого водят тези връзки.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Най-простият показател е степента на централност. При </w:t>
      </w:r>
      <w:proofErr w:type="spellStart"/>
      <w:r w:rsidRPr="0077317E">
        <w:rPr>
          <w:rFonts w:asciiTheme="majorHAnsi" w:hAnsiTheme="majorHAnsi" w:cstheme="majorHAnsi"/>
          <w:lang w:val="bg-BG"/>
        </w:rPr>
        <w:t>непретеглена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мрежа тя брои броя на преките връзки. При претеглена мрежа по-подходящата величина е претеглената степен, често наричана сила на възела. За лице i тя е:</w:t>
      </w:r>
    </w:p>
    <w:p w:rsidR="00217CD2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bSup>
            <m:sSub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SupPr>
            <m:e>
              <m:r>
                <w:rPr>
                  <w:rFonts w:ascii="Cambria Math" w:hAnsi="Cambria Math" w:cstheme="majorHAnsi"/>
                  <w:lang w:val="bg-BG"/>
                </w:rPr>
                <m:t>d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  <m:sup>
              <m:r>
                <w:rPr>
                  <w:rFonts w:ascii="Cambria Math" w:hAnsi="Cambria Math" w:cstheme="majorHAnsi"/>
                  <w:lang w:val="bg-BG"/>
                </w:rPr>
                <m:t>w</m:t>
              </m:r>
            </m:sup>
          </m:sSubSup>
          <m:r>
            <w:rPr>
              <w:rFonts w:ascii="Cambria Math" w:hAnsi="Cambria Math" w:cstheme="majorHAnsi"/>
              <w:lang w:val="bg-BG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naryPr>
            <m:sub>
              <m:r>
                <w:rPr>
                  <w:rFonts w:ascii="Cambria Math" w:hAnsi="Cambria Math" w:cstheme="majorHAnsi"/>
                  <w:lang w:val="bg-BG"/>
                </w:rPr>
                <m:t>j=1</m:t>
              </m:r>
            </m:sub>
            <m:sup>
              <m:r>
                <w:rPr>
                  <w:rFonts w:ascii="Cambria Math" w:hAnsi="Cambria Math" w:cstheme="majorHAnsi"/>
                  <w:lang w:val="bg-BG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lang w:val="bg-BG"/>
                    </w:rPr>
                    <m:t>ij</m:t>
                  </m:r>
                </m:sub>
              </m:sSub>
            </m:e>
          </m:nary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В матрична форма:</w:t>
      </w:r>
    </w:p>
    <w:p w:rsidR="00217CD2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r>
                <w:rPr>
                  <w:rFonts w:ascii="Cambria Math" w:hAnsi="Cambria Math" w:cstheme="majorHAnsi"/>
                  <w:lang w:val="bg-BG"/>
                </w:rPr>
                <m:t>d</m:t>
              </m:r>
            </m:e>
            <m:sup>
              <m:r>
                <w:rPr>
                  <w:rFonts w:ascii="Cambria Math" w:hAnsi="Cambria Math" w:cstheme="majorHAnsi"/>
                  <w:lang w:val="bg-BG"/>
                </w:rPr>
                <m:t>w</m:t>
              </m:r>
            </m:sup>
          </m:sSup>
          <m:r>
            <w:rPr>
              <w:rFonts w:ascii="Cambria Math" w:hAnsi="Cambria Math" w:cstheme="majorHAnsi"/>
              <w:lang w:val="bg-BG"/>
            </w:rPr>
            <m:t>=W⋅</m:t>
          </m:r>
          <m:r>
            <m:rPr>
              <m:sty m:val="bi"/>
            </m:rPr>
            <w:rPr>
              <w:rFonts w:ascii="Cambria Math" w:hAnsi="Cambria Math" w:cstheme="majorHAnsi"/>
              <w:lang w:val="bg-BG"/>
            </w:rPr>
            <m:t>1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където 1 е вектор от единици:</w:t>
      </w:r>
    </w:p>
    <w:p w:rsidR="00217CD2" w:rsidRPr="0077317E" w:rsidRDefault="00217CD2" w:rsidP="0077317E">
      <w:pPr>
        <w:spacing w:line="360" w:lineRule="auto"/>
        <w:rPr>
          <w:rFonts w:asciiTheme="majorHAnsi" w:eastAsia="DejaVu Sans Mono" w:hAnsiTheme="majorHAnsi" w:cstheme="majorHAnsi"/>
          <w:lang w:val="bg-BG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lang w:val="bg-BG"/>
            </w:rPr>
            <m:t>1</m:t>
          </m:r>
          <m:r>
            <w:rPr>
              <w:rFonts w:ascii="Cambria Math" w:hAnsi="Cambria Math" w:cstheme="majorHAnsi"/>
              <w:lang w:val="bg-BG"/>
            </w:rPr>
            <m:t>=</m:t>
          </m:r>
          <m:sSup>
            <m:sSupPr>
              <m:ctrlPr>
                <w:rPr>
                  <w:rFonts w:ascii="Cambria Math" w:eastAsia="DejaVu Sans Mono" w:hAnsi="Cambria Math" w:cstheme="majorHAnsi"/>
                  <w:i/>
                  <w:lang w:val="bg-BG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1,1,</m:t>
                  </m:r>
                  <m:r>
                    <w:rPr>
                      <w:rFonts w:ascii="Cambria Math" w:eastAsia="DejaVu Sans Mono" w:hAnsi="Cambria Math" w:cstheme="majorHAnsi"/>
                      <w:lang w:val="bg-BG"/>
                    </w:rPr>
                    <m:t>…,1</m:t>
                  </m:r>
                  <m:ctrlPr>
                    <w:rPr>
                      <w:rFonts w:ascii="Cambria Math" w:eastAsia="DejaVu Sans Mono" w:hAnsi="Cambria Math" w:cstheme="majorHAnsi"/>
                      <w:i/>
                      <w:lang w:val="bg-BG"/>
                    </w:rPr>
                  </m:ctrlPr>
                </m:e>
              </m:d>
            </m:e>
            <m:sup>
              <m:r>
                <w:rPr>
                  <w:rFonts w:ascii="Cambria Math" w:eastAsia="DejaVu Sans Mono" w:hAnsi="Cambria Math" w:cstheme="majorHAnsi"/>
                  <w:lang w:val="bg-BG"/>
                </w:rPr>
                <m:t>'</m:t>
              </m:r>
            </m:sup>
          </m:sSup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За примерната матрица получаваме:</w:t>
      </w:r>
    </w:p>
    <w:p w:rsidR="00217CD2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r>
                <w:rPr>
                  <w:rFonts w:ascii="Cambria Math" w:hAnsi="Cambria Math" w:cstheme="majorHAnsi"/>
                  <w:lang w:val="bg-BG"/>
                </w:rPr>
                <m:t>d</m:t>
              </m:r>
            </m:e>
            <m:sup>
              <m:r>
                <w:rPr>
                  <w:rFonts w:ascii="Cambria Math" w:hAnsi="Cambria Math" w:cstheme="majorHAnsi"/>
                  <w:lang w:val="bg-BG"/>
                </w:rPr>
                <m:t>w</m:t>
              </m:r>
            </m:sup>
          </m:sSup>
          <m:r>
            <w:rPr>
              <w:rFonts w:ascii="Cambria Math" w:hAnsi="Cambria Math" w:cstheme="majorHAnsi"/>
              <w:lang w:val="bg-BG"/>
            </w:rPr>
            <m:t>=W⋅</m:t>
          </m:r>
          <m:r>
            <m:rPr>
              <m:sty m:val="bi"/>
            </m:rPr>
            <w:rPr>
              <w:rFonts w:ascii="Cambria Math" w:hAnsi="Cambria Math" w:cstheme="majorHAnsi"/>
              <w:lang w:val="bg-BG"/>
            </w:rPr>
            <m:t>1=</m:t>
          </m:r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2, 1.5, 1, 1.5, 1</m:t>
                  </m:r>
                </m:e>
              </m:d>
              <m:ctrlPr>
                <w:rPr>
                  <w:rFonts w:ascii="Cambria Math" w:hAnsi="Cambria Math" w:cstheme="majorHAnsi"/>
                  <w:b/>
                  <w:i/>
                  <w:lang w:val="bg-BG"/>
                </w:rPr>
              </m:ctrlPr>
            </m:e>
            <m:sup>
              <m:r>
                <w:rPr>
                  <w:rFonts w:ascii="Cambria Math" w:hAnsi="Cambria Math" w:cstheme="majorHAnsi"/>
                  <w:lang w:val="bg-BG"/>
                </w:rPr>
                <m:t>'</m:t>
              </m:r>
            </m:sup>
          </m:sSup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Следователно A има най-висока пряка </w:t>
      </w:r>
      <w:proofErr w:type="spellStart"/>
      <w:r w:rsidRPr="0077317E">
        <w:rPr>
          <w:rFonts w:asciiTheme="majorHAnsi" w:hAnsiTheme="majorHAnsi" w:cstheme="majorHAnsi"/>
          <w:lang w:val="bg-BG"/>
        </w:rPr>
        <w:t>вграденост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B и D имат междинна </w:t>
      </w:r>
      <w:proofErr w:type="spellStart"/>
      <w:r w:rsidRPr="0077317E">
        <w:rPr>
          <w:rFonts w:asciiTheme="majorHAnsi" w:hAnsiTheme="majorHAnsi" w:cstheme="majorHAnsi"/>
          <w:lang w:val="bg-BG"/>
        </w:rPr>
        <w:t>вграденост</w:t>
      </w:r>
      <w:proofErr w:type="spellEnd"/>
      <w:r w:rsidRPr="0077317E">
        <w:rPr>
          <w:rFonts w:asciiTheme="majorHAnsi" w:hAnsiTheme="majorHAnsi" w:cstheme="majorHAnsi"/>
          <w:lang w:val="bg-BG"/>
        </w:rPr>
        <w:t>. C и E са периферни в смисъла на преките връзки. Този показател е полезен, защото измерва обема на непосредствените академични контакти. Но той не отчита дали контактите са с периферни или централни лица.</w:t>
      </w:r>
    </w:p>
    <w:p w:rsidR="00674583" w:rsidRPr="0077317E" w:rsidRDefault="005554FD" w:rsidP="0077317E">
      <w:pPr>
        <w:spacing w:line="360" w:lineRule="auto"/>
        <w:ind w:firstLine="720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За да се измери достъпът до централни лица, се използва </w:t>
      </w:r>
      <w:proofErr w:type="spellStart"/>
      <w:r w:rsidRPr="0077317E">
        <w:rPr>
          <w:rFonts w:asciiTheme="majorHAnsi" w:hAnsiTheme="majorHAnsi" w:cstheme="majorHAnsi"/>
          <w:lang w:val="bg-BG"/>
        </w:rPr>
        <w:t>собственовекторна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централност. Тя решава проблема, при който човек може да има малко връзки, но тези връзки да водят към най-важните фигури в мрежата. Формално централността x се дефинира чрез:</w:t>
      </w:r>
    </w:p>
    <w:p w:rsidR="00217CD2" w:rsidRPr="0077317E" w:rsidRDefault="00217CD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>Wx=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λ</m:t>
              </m:r>
            </m:e>
            <m:sub>
              <m:func>
                <m:func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bg-BG"/>
                    </w:rPr>
                    <m:t>max</m:t>
                  </m:r>
                </m:fName>
                <m:e>
                  <m:r>
                    <w:rPr>
                      <w:rFonts w:ascii="Cambria Math" w:hAnsi="Cambria Math" w:cstheme="majorHAnsi"/>
                      <w:lang w:val="bg-BG"/>
                    </w:rPr>
                    <m:t xml:space="preserve"> </m:t>
                  </m:r>
                </m:e>
              </m:func>
            </m:sub>
          </m:sSub>
          <m:r>
            <w:rPr>
              <w:rFonts w:ascii="Cambria Math" w:hAnsi="Cambria Math" w:cstheme="majorHAnsi"/>
              <w:lang w:val="bg-BG"/>
            </w:rPr>
            <m:t>x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lastRenderedPageBreak/>
        <w:t xml:space="preserve">където x е векторът на </w:t>
      </w:r>
      <w:proofErr w:type="spellStart"/>
      <w:r w:rsidRPr="0077317E">
        <w:rPr>
          <w:rFonts w:asciiTheme="majorHAnsi" w:hAnsiTheme="majorHAnsi" w:cstheme="majorHAnsi"/>
          <w:lang w:val="bg-BG"/>
        </w:rPr>
        <w:t>централностите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а </w:t>
      </w:r>
      <m:oMath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λ</m:t>
            </m:r>
          </m:e>
          <m:sub>
            <m:func>
              <m:funcPr>
                <m:ctrlPr>
                  <w:rPr>
                    <w:rFonts w:ascii="Cambria Math" w:hAnsi="Cambria Math" w:cstheme="majorHAnsi"/>
                    <w:i/>
                    <w:lang w:val="bg-BG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HAnsi"/>
                    <w:lang w:val="bg-BG"/>
                  </w:rPr>
                  <m:t>max</m:t>
                </m:r>
              </m:fName>
              <m:e>
                <m:r>
                  <w:rPr>
                    <w:rFonts w:ascii="Cambria Math" w:hAnsi="Cambria Math" w:cstheme="majorHAnsi"/>
                    <w:lang w:val="bg-BG"/>
                  </w:rPr>
                  <m:t xml:space="preserve"> </m:t>
                </m:r>
              </m:e>
            </m:func>
          </m:sub>
        </m:sSub>
      </m:oMath>
      <w:r w:rsidRPr="0077317E">
        <w:rPr>
          <w:rFonts w:asciiTheme="majorHAnsi" w:hAnsiTheme="majorHAnsi" w:cstheme="majorHAnsi"/>
          <w:lang w:val="bg-BG"/>
        </w:rPr>
        <w:t xml:space="preserve"> е най-голямата собствена стойност на </w:t>
      </w:r>
      <m:oMath>
        <m:r>
          <w:rPr>
            <w:rFonts w:ascii="Cambria Math" w:hAnsi="Cambria Math" w:cstheme="majorHAnsi"/>
            <w:lang w:val="bg-BG"/>
          </w:rPr>
          <m:t>W</m:t>
        </m:r>
      </m:oMath>
      <w:r w:rsidRPr="0077317E">
        <w:rPr>
          <w:rFonts w:asciiTheme="majorHAnsi" w:hAnsiTheme="majorHAnsi" w:cstheme="majorHAnsi"/>
          <w:lang w:val="bg-BG"/>
        </w:rPr>
        <w:t>. За всеки отделен актьор:</w:t>
      </w:r>
    </w:p>
    <w:p w:rsidR="00217CD2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  <m:r>
            <w:rPr>
              <w:rFonts w:ascii="Cambria Math" w:hAnsi="Cambria Math" w:cstheme="majorHAnsi"/>
              <w:lang w:val="bg-BG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fPr>
            <m:num>
              <m:r>
                <w:rPr>
                  <w:rFonts w:ascii="Cambria Math" w:hAnsi="Cambria Math" w:cstheme="majorHAnsi"/>
                  <w:lang w:val="bg-B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λ</m:t>
                  </m:r>
                </m:e>
                <m:sub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lang w:val="bg-BG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 xml:space="preserve"> </m:t>
                      </m:r>
                    </m:e>
                  </m:func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naryPr>
            <m:sub>
              <m:r>
                <w:rPr>
                  <w:rFonts w:ascii="Cambria Math" w:hAnsi="Cambria Math" w:cstheme="majorHAnsi"/>
                  <w:lang w:val="bg-BG"/>
                </w:rPr>
                <m:t>j=1</m:t>
              </m:r>
            </m:sub>
            <m:sup>
              <m:r>
                <w:rPr>
                  <w:rFonts w:ascii="Cambria Math" w:hAnsi="Cambria Math" w:cstheme="majorHAnsi"/>
                  <w:lang w:val="bg-BG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lang w:val="bg-BG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lang w:val="bg-BG"/>
                    </w:rPr>
                    <m:t>j</m:t>
                  </m:r>
                </m:sub>
              </m:sSub>
            </m:e>
          </m:nary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Следователно централността на </w:t>
      </w:r>
      <m:oMath>
        <m:r>
          <w:rPr>
            <w:rFonts w:ascii="Cambria Math" w:hAnsi="Cambria Math" w:cstheme="majorHAnsi"/>
            <w:lang w:val="bg-BG"/>
          </w:rPr>
          <m:t xml:space="preserve">i </m:t>
        </m:r>
      </m:oMath>
      <w:r w:rsidRPr="0077317E">
        <w:rPr>
          <w:rFonts w:asciiTheme="majorHAnsi" w:hAnsiTheme="majorHAnsi" w:cstheme="majorHAnsi"/>
          <w:lang w:val="bg-BG"/>
        </w:rPr>
        <w:t>зависи от централността на неговите съседи. Това е рекурсивна логика</w:t>
      </w:r>
      <w:r w:rsidR="007D2B3D">
        <w:rPr>
          <w:rFonts w:asciiTheme="majorHAnsi" w:hAnsiTheme="majorHAnsi" w:cstheme="majorHAnsi"/>
        </w:rPr>
        <w:t xml:space="preserve">, </w:t>
      </w:r>
      <w:r w:rsidR="007D2B3D">
        <w:rPr>
          <w:rFonts w:asciiTheme="majorHAnsi" w:hAnsiTheme="majorHAnsi" w:cstheme="majorHAnsi"/>
          <w:lang w:val="bg-BG"/>
        </w:rPr>
        <w:t>защото</w:t>
      </w:r>
      <w:r w:rsidRPr="0077317E">
        <w:rPr>
          <w:rFonts w:asciiTheme="majorHAnsi" w:hAnsiTheme="majorHAnsi" w:cstheme="majorHAnsi"/>
          <w:lang w:val="bg-BG"/>
        </w:rPr>
        <w:t xml:space="preserve"> човек е централен, когато е свързан с други централни хора. </w:t>
      </w:r>
      <w:r w:rsidR="007D2B3D">
        <w:rPr>
          <w:rFonts w:asciiTheme="majorHAnsi" w:hAnsiTheme="majorHAnsi" w:cstheme="majorHAnsi"/>
          <w:lang w:val="bg-BG"/>
        </w:rPr>
        <w:t xml:space="preserve">От гледна точка на стопанския факултет </w:t>
      </w:r>
      <w:r w:rsidRPr="0077317E">
        <w:rPr>
          <w:rFonts w:asciiTheme="majorHAnsi" w:hAnsiTheme="majorHAnsi" w:cstheme="majorHAnsi"/>
          <w:lang w:val="bg-BG"/>
        </w:rPr>
        <w:t>това означава, че не всяка връзка има еднаква стойност. Връзката с периферен участник не носи същата структурна тежест като връзката с лице, което многократно участва като научен ръководител, член на жури или управленска фигура.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Математическата основа на тази мярка е теоремата на Перон-</w:t>
      </w:r>
      <w:proofErr w:type="spellStart"/>
      <w:r w:rsidRPr="0077317E">
        <w:rPr>
          <w:rFonts w:asciiTheme="majorHAnsi" w:hAnsiTheme="majorHAnsi" w:cstheme="majorHAnsi"/>
          <w:lang w:val="bg-BG"/>
        </w:rPr>
        <w:t>Фробениус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за неотрицателни матрици. Тъй като W съдържа неотрицателни тегла, водещият собствен вектор може да бъде използван като мярка за структурна централност, особено когато мрежата е свързана. Ако мрежата е фрагментирана, глобалната </w:t>
      </w:r>
      <w:proofErr w:type="spellStart"/>
      <w:r w:rsidRPr="0077317E">
        <w:rPr>
          <w:rFonts w:asciiTheme="majorHAnsi" w:hAnsiTheme="majorHAnsi" w:cstheme="majorHAnsi"/>
          <w:lang w:val="bg-BG"/>
        </w:rPr>
        <w:t>собственовекторна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централност трябва да се интерпретира внимателно, защото може да концентрира почти цялата тежест в най-голямата компонента.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Реалната академична мрежа рядко е напълно свързана. Ако има множество малки компоненти и една по-голяма сърцевина, </w:t>
      </w:r>
      <w:proofErr w:type="spellStart"/>
      <w:r w:rsidRPr="0077317E">
        <w:rPr>
          <w:rFonts w:asciiTheme="majorHAnsi" w:hAnsiTheme="majorHAnsi" w:cstheme="majorHAnsi"/>
          <w:lang w:val="bg-BG"/>
        </w:rPr>
        <w:t>собственовекторната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централност може механично да даде почти нулеви стойности на актьори извън доминиращата компонента. Затова като проверка за устойчивост се въвежда Katz централност:</w:t>
      </w:r>
    </w:p>
    <w:p w:rsidR="00217CD2" w:rsidRPr="0077317E" w:rsidRDefault="00217CD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>k=aWk+β1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Решението е:</w:t>
      </w:r>
    </w:p>
    <w:p w:rsidR="00674583" w:rsidRPr="0077317E" w:rsidRDefault="00217CD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>k=</m:t>
          </m:r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I-aW</m:t>
                  </m:r>
                </m:e>
              </m:d>
            </m:e>
            <m:sup>
              <m:r>
                <w:rPr>
                  <w:rFonts w:ascii="Cambria Math" w:hAnsi="Cambria Math" w:cstheme="majorHAnsi"/>
                  <w:lang w:val="bg-BG"/>
                </w:rPr>
                <m:t>-1</m:t>
              </m:r>
            </m:sup>
          </m:sSup>
          <m:r>
            <w:rPr>
              <w:rFonts w:ascii="Cambria Math" w:hAnsi="Cambria Math" w:cstheme="majorHAnsi"/>
              <w:lang w:val="bg-BG"/>
            </w:rPr>
            <m:t>β1,    0&lt;a&lt;</m:t>
          </m:r>
          <m:f>
            <m:f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fPr>
            <m:num>
              <m:r>
                <w:rPr>
                  <w:rFonts w:ascii="Cambria Math" w:hAnsi="Cambria Math" w:cstheme="majorHAnsi"/>
                  <w:lang w:val="bg-B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λ</m:t>
                  </m:r>
                </m:e>
                <m:sub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lang w:val="bg-BG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 xml:space="preserve"> </m:t>
                      </m:r>
                    </m:e>
                  </m:func>
                </m:sub>
              </m:sSub>
            </m:den>
          </m:f>
          <m:r>
            <m:rPr>
              <m:sty m:val="p"/>
            </m:rPr>
            <w:rPr>
              <w:rFonts w:asciiTheme="majorHAnsi" w:hAnsiTheme="majorHAnsi" w:cstheme="majorHAnsi"/>
              <w:lang w:val="bg-BG"/>
            </w:rPr>
            <w:br/>
          </m:r>
        </m:oMath>
      </m:oMathPara>
      <w:r w:rsidR="005554FD" w:rsidRPr="0077317E">
        <w:rPr>
          <w:rFonts w:asciiTheme="majorHAnsi" w:hAnsiTheme="majorHAnsi" w:cstheme="majorHAnsi"/>
          <w:lang w:val="bg-BG"/>
        </w:rPr>
        <w:t xml:space="preserve">Katz централността добавя базов статус β към всеки възел и след това натрупва директните и индиректните връзки, </w:t>
      </w:r>
      <w:proofErr w:type="spellStart"/>
      <w:r w:rsidR="005554FD" w:rsidRPr="0077317E">
        <w:rPr>
          <w:rFonts w:asciiTheme="majorHAnsi" w:hAnsiTheme="majorHAnsi" w:cstheme="majorHAnsi"/>
          <w:lang w:val="bg-BG"/>
        </w:rPr>
        <w:t>дисконтирани</w:t>
      </w:r>
      <w:proofErr w:type="spellEnd"/>
      <w:r w:rsidR="005554FD" w:rsidRPr="0077317E">
        <w:rPr>
          <w:rFonts w:asciiTheme="majorHAnsi" w:hAnsiTheme="majorHAnsi" w:cstheme="majorHAnsi"/>
          <w:lang w:val="bg-BG"/>
        </w:rPr>
        <w:t xml:space="preserve"> чрез </w:t>
      </w:r>
      <m:oMath>
        <m:r>
          <w:rPr>
            <w:rFonts w:ascii="Cambria Math" w:hAnsi="Cambria Math" w:cstheme="majorHAnsi"/>
            <w:lang w:val="bg-BG"/>
          </w:rPr>
          <m:t>α</m:t>
        </m:r>
      </m:oMath>
      <w:r w:rsidR="005554FD" w:rsidRPr="0077317E">
        <w:rPr>
          <w:rFonts w:asciiTheme="majorHAnsi" w:hAnsiTheme="majorHAnsi" w:cstheme="majorHAnsi"/>
          <w:lang w:val="bg-BG"/>
        </w:rPr>
        <w:t>. Така дори актьорите в малки компоненти не изчезват механично от анализа. В контекста на факултета това е полезно, защото позволява да се сравнява не само ядрото, но и периферните родословия.</w:t>
      </w:r>
    </w:p>
    <w:p w:rsidR="00674583" w:rsidRPr="0077317E" w:rsidRDefault="005554FD" w:rsidP="004432E5">
      <w:pPr>
        <w:spacing w:line="360" w:lineRule="auto"/>
        <w:ind w:firstLine="720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Следващата стъпка е да се провери дали мрежовата позиция предсказва скоростта на академичното назначаване. Ако факултетът функционира като затворена система на възпроизводство, по-централните лица би трябвало да достигат до академична позиция по-бързо след доктората или дори преди формалното придобиване на степента.</w:t>
      </w:r>
      <w:r w:rsidR="004432E5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Theme="majorHAnsi" w:hAnsiTheme="majorHAnsi" w:cstheme="majorHAnsi"/>
          <w:lang w:val="bg-BG"/>
        </w:rPr>
        <w:t>Нека забавянето на назначението бъде дефинирано като:</w:t>
      </w:r>
    </w:p>
    <w:p w:rsidR="00217CD2" w:rsidRPr="0077317E" w:rsidRDefault="00217CD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w:lastRenderedPageBreak/>
            <m:t>Dela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y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  <m:r>
            <w:rPr>
              <w:rFonts w:ascii="Cambria Math" w:hAnsi="Cambria Math" w:cstheme="majorHAnsi"/>
              <w:lang w:val="bg-BG"/>
            </w:rPr>
            <m:t>=Hire</m:t>
          </m:r>
          <m:r>
            <m:rPr>
              <m:lit/>
            </m:rPr>
            <w:rPr>
              <w:rFonts w:ascii="Cambria Math" w:hAnsi="Cambria Math" w:cstheme="majorHAnsi"/>
              <w:lang w:val="bg-BG"/>
            </w:rPr>
            <m:t>_</m:t>
          </m:r>
          <m:r>
            <w:rPr>
              <w:rFonts w:ascii="Cambria Math" w:hAnsi="Cambria Math" w:cstheme="majorHAnsi"/>
              <w:lang w:val="bg-BG"/>
            </w:rPr>
            <m:t>Dat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e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  <m:r>
            <w:rPr>
              <w:rFonts w:ascii="Cambria Math" w:hAnsi="Cambria Math" w:cstheme="majorHAnsi"/>
              <w:lang w:val="bg-BG"/>
            </w:rPr>
            <m:t>-PHD</m:t>
          </m:r>
          <m:r>
            <m:rPr>
              <m:lit/>
            </m:rPr>
            <w:rPr>
              <w:rFonts w:ascii="Cambria Math" w:hAnsi="Cambria Math" w:cstheme="majorHAnsi"/>
              <w:lang w:val="bg-BG"/>
            </w:rPr>
            <m:t>_</m:t>
          </m:r>
          <m:r>
            <w:rPr>
              <w:rFonts w:ascii="Cambria Math" w:hAnsi="Cambria Math" w:cstheme="majorHAnsi"/>
              <w:lang w:val="bg-BG"/>
            </w:rPr>
            <m:t>Dat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e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Отрицателна стойност означава, че лицето е назначено преди придобиването на докторската степен. Нулева или много малка стойност означава почти непосредствено институционално поглъщане. Базовият модел е:</w:t>
      </w:r>
    </w:p>
    <w:p w:rsidR="009826CC" w:rsidRPr="0077317E" w:rsidRDefault="009826CC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>Dela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y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  <m:r>
            <w:rPr>
              <w:rFonts w:ascii="Cambria Math" w:hAnsi="Cambria Math" w:cstheme="majorHAnsi"/>
              <w:lang w:val="bg-BG"/>
            </w:rPr>
            <m:t xml:space="preserve">=α+β 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C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  <m:r>
            <w:rPr>
              <w:rFonts w:ascii="Cambria Math" w:hAnsi="Cambria Math" w:cstheme="majorHAnsi"/>
              <w:lang w:val="bg-BG"/>
            </w:rPr>
            <m:t>+</m:t>
          </m:r>
          <m:sSubSup>
            <m:sSub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SupPr>
            <m:e>
              <m:r>
                <w:rPr>
                  <w:rFonts w:ascii="Cambria Math" w:hAnsi="Cambria Math" w:cstheme="majorHAnsi"/>
                  <w:lang w:val="bg-BG"/>
                </w:rPr>
                <m:t>Z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  <m:sup>
              <m:r>
                <w:rPr>
                  <w:rFonts w:ascii="Cambria Math" w:hAnsi="Cambria Math" w:cstheme="majorHAnsi"/>
                  <w:lang w:val="bg-BG"/>
                </w:rPr>
                <m:t>'</m:t>
              </m:r>
            </m:sup>
          </m:sSubSup>
          <m:r>
            <w:rPr>
              <w:rFonts w:ascii="Cambria Math" w:hAnsi="Cambria Math" w:cstheme="majorHAnsi"/>
              <w:lang w:val="bg-BG"/>
            </w:rPr>
            <m:t>γ+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u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където </w:t>
      </w:r>
      <m:oMath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C</m:t>
            </m:r>
          </m:e>
          <m:sub>
            <m:r>
              <w:rPr>
                <w:rFonts w:ascii="Cambria Math" w:hAnsi="Cambria Math" w:cstheme="majorHAnsi"/>
                <w:lang w:val="bg-BG"/>
              </w:rPr>
              <m:t>i</m:t>
            </m:r>
          </m:sub>
        </m:sSub>
      </m:oMath>
      <w:r w:rsidRPr="0077317E">
        <w:rPr>
          <w:rFonts w:asciiTheme="majorHAnsi" w:hAnsiTheme="majorHAnsi" w:cstheme="majorHAnsi"/>
          <w:lang w:val="bg-BG"/>
        </w:rPr>
        <w:t xml:space="preserve"> е мрежовата централност, а </w:t>
      </w:r>
      <m:oMath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Z</m:t>
            </m:r>
          </m:e>
          <m:sub>
            <m:r>
              <w:rPr>
                <w:rFonts w:ascii="Cambria Math" w:hAnsi="Cambria Math" w:cstheme="majorHAnsi"/>
                <w:lang w:val="bg-BG"/>
              </w:rPr>
              <m:t>i</m:t>
            </m:r>
          </m:sub>
        </m:sSub>
      </m:oMath>
      <w:r w:rsidRPr="0077317E">
        <w:rPr>
          <w:rFonts w:asciiTheme="majorHAnsi" w:hAnsiTheme="majorHAnsi" w:cstheme="majorHAnsi"/>
          <w:lang w:val="bg-BG"/>
        </w:rPr>
        <w:t xml:space="preserve"> включва контролни променливи като катедра, длъжност, кохорта и </w:t>
      </w:r>
      <w:proofErr w:type="spellStart"/>
      <w:r w:rsidRPr="0077317E">
        <w:rPr>
          <w:rFonts w:asciiTheme="majorHAnsi" w:hAnsiTheme="majorHAnsi" w:cstheme="majorHAnsi"/>
          <w:lang w:val="bg-BG"/>
        </w:rPr>
        <w:t>публикационна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продуктивност. В матрична форма:</w:t>
      </w:r>
    </w:p>
    <w:p w:rsidR="009826CC" w:rsidRPr="0077317E" w:rsidRDefault="009826CC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>y = α1 + Cβ + Zγ + u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Хипотезата е:</w:t>
      </w:r>
    </w:p>
    <w:p w:rsidR="00674583" w:rsidRPr="0077317E" w:rsidRDefault="00911302" w:rsidP="0077317E">
      <w:pPr>
        <w:pStyle w:val="FormulaBlock"/>
        <w:shd w:val="clear" w:color="auto" w:fill="F3F6FA"/>
        <w:spacing w:line="360" w:lineRule="auto"/>
        <w:rPr>
          <w:rFonts w:asciiTheme="majorHAnsi" w:hAnsiTheme="majorHAnsi" w:cstheme="majorHAnsi"/>
          <w:lang w:val="bg-BG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0</m:t>
              </m:r>
            </m:sub>
          </m:sSub>
          <m:r>
            <w:rPr>
              <w:rFonts w:ascii="Cambria Math" w:hAnsi="Cambria Math" w:cstheme="majorHAnsi"/>
              <w:lang w:val="bg-BG"/>
            </w:rPr>
            <m:t>: β = 0</m:t>
          </m:r>
          <m:r>
            <m:rPr>
              <m:sty m:val="p"/>
            </m:rPr>
            <w:rPr>
              <w:rFonts w:ascii="Cambria Math" w:hAnsi="Cambria Math" w:cstheme="majorHAnsi"/>
              <w:lang w:val="bg-BG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1</m:t>
              </m:r>
            </m:sub>
          </m:sSub>
          <m:r>
            <w:rPr>
              <w:rFonts w:ascii="Cambria Math" w:hAnsi="Cambria Math" w:cstheme="majorHAnsi"/>
              <w:lang w:val="bg-BG"/>
            </w:rPr>
            <m:t>: β &lt; 0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Ако β е отрицателно, по-високата централност е свързана с по-кратко забавяне, тоест с по-бързо назначаване. Това не доказва причинност, но показва дали мрежовата позиция е свързана с институционална скорост.</w:t>
      </w:r>
    </w:p>
    <w:p w:rsidR="00674583" w:rsidRPr="0077317E" w:rsidRDefault="005554FD" w:rsidP="0077317E">
      <w:pPr>
        <w:spacing w:line="360" w:lineRule="auto"/>
        <w:ind w:firstLine="283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Тъй като интересуващата величина е време до събитие, подходяща допълнителна спецификация е моделът на пропорционалните рискове на Кокс:</w:t>
      </w:r>
    </w:p>
    <w:p w:rsidR="009826CC" w:rsidRPr="0077317E" w:rsidRDefault="009826CC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r>
            <w:rPr>
              <w:rFonts w:ascii="Cambria Math" w:hAnsi="Cambria Math" w:cstheme="majorHAnsi"/>
              <w:lang w:val="bg-BG"/>
            </w:rPr>
            <m:t>h</m:t>
          </m:r>
          <m:d>
            <m:dPr>
              <m:endChr m:val="|"/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dPr>
            <m:e>
              <m:r>
                <w:rPr>
                  <w:rFonts w:ascii="Cambria Math" w:hAnsi="Cambria Math" w:cstheme="majorHAnsi"/>
                  <w:lang w:val="bg-BG"/>
                </w:rPr>
                <m:t xml:space="preserve">t </m:t>
              </m:r>
            </m:e>
          </m:d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X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</m:t>
              </m:r>
            </m:sub>
          </m:sSub>
          <m:r>
            <w:rPr>
              <w:rFonts w:ascii="Cambria Math" w:hAnsi="Cambria Math" w:cstheme="majorHAnsi"/>
              <w:lang w:val="bg-BG"/>
            </w:rPr>
            <m:t>)=</m:t>
          </m:r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h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dPr>
            <m:e>
              <m:r>
                <w:rPr>
                  <w:rFonts w:ascii="Cambria Math" w:hAnsi="Cambria Math" w:cstheme="majorHAnsi"/>
                  <w:lang w:val="bg-BG"/>
                </w:rPr>
                <m:t>t</m:t>
              </m:r>
            </m:e>
          </m:d>
          <m:func>
            <m:func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lang w:val="bg-BG"/>
                </w:rPr>
                <m:t>exp</m:t>
              </m:r>
            </m:fName>
            <m:e>
              <m:r>
                <w:rPr>
                  <w:rFonts w:ascii="Cambria Math" w:hAnsi="Cambria Math" w:cstheme="majorHAnsi"/>
                  <w:lang w:val="bg-BG"/>
                </w:rPr>
                <m:t xml:space="preserve">(β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lang w:val="bg-BG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lang w:val="bg-BG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ajorHAnsi"/>
                      <w:lang w:val="bg-BG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ajorHAnsi"/>
                      <w:lang w:val="bg-BG"/>
                    </w:rPr>
                    <m:t>'</m:t>
                  </m:r>
                </m:sup>
              </m:sSubSup>
              <m:r>
                <w:rPr>
                  <w:rFonts w:ascii="Cambria Math" w:hAnsi="Cambria Math" w:cstheme="majorHAnsi"/>
                  <w:lang w:val="bg-BG"/>
                </w:rPr>
                <m:t>γ)</m:t>
              </m:r>
            </m:e>
          </m:func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Тук </w:t>
      </w:r>
      <m:oMath>
        <m:r>
          <w:rPr>
            <w:rFonts w:ascii="Cambria Math" w:hAnsi="Cambria Math" w:cstheme="majorHAnsi"/>
            <w:lang w:val="bg-BG"/>
          </w:rPr>
          <m:t>h</m:t>
        </m:r>
        <m:d>
          <m:dPr>
            <m:endChr m:val="|"/>
            <m:ctrlPr>
              <w:rPr>
                <w:rFonts w:ascii="Cambria Math" w:hAnsi="Cambria Math" w:cstheme="majorHAnsi"/>
                <w:i/>
                <w:lang w:val="bg-BG"/>
              </w:rPr>
            </m:ctrlPr>
          </m:dPr>
          <m:e>
            <m:r>
              <w:rPr>
                <w:rFonts w:ascii="Cambria Math" w:hAnsi="Cambria Math" w:cstheme="majorHAnsi"/>
                <w:lang w:val="bg-BG"/>
              </w:rPr>
              <m:t xml:space="preserve">t </m:t>
            </m:r>
          </m:e>
        </m:d>
        <m:sSub>
          <m:sSubPr>
            <m:ctrlPr>
              <w:rPr>
                <w:rFonts w:ascii="Cambria Math" w:hAnsi="Cambria Math" w:cstheme="majorHAnsi"/>
                <w:i/>
                <w:lang w:val="bg-BG"/>
              </w:rPr>
            </m:ctrlPr>
          </m:sSubPr>
          <m:e>
            <m:r>
              <w:rPr>
                <w:rFonts w:ascii="Cambria Math" w:hAnsi="Cambria Math" w:cstheme="majorHAnsi"/>
                <w:lang w:val="bg-BG"/>
              </w:rPr>
              <m:t>X</m:t>
            </m:r>
          </m:e>
          <m:sub>
            <m:r>
              <w:rPr>
                <w:rFonts w:ascii="Cambria Math" w:hAnsi="Cambria Math" w:cstheme="majorHAnsi"/>
                <w:lang w:val="bg-BG"/>
              </w:rPr>
              <m:t>i</m:t>
            </m:r>
          </m:sub>
        </m:sSub>
        <m:r>
          <w:rPr>
            <w:rFonts w:ascii="Cambria Math" w:hAnsi="Cambria Math" w:cstheme="majorHAnsi"/>
            <w:lang w:val="bg-BG"/>
          </w:rPr>
          <m:t>)</m:t>
        </m:r>
      </m:oMath>
      <w:r w:rsidRPr="0077317E">
        <w:rPr>
          <w:rFonts w:asciiTheme="majorHAnsi" w:hAnsiTheme="majorHAnsi" w:cstheme="majorHAnsi"/>
          <w:lang w:val="bg-BG"/>
        </w:rPr>
        <w:t xml:space="preserve"> е моментната вероятност лицето да бъде назначено в момент t след доктората. Ако </w:t>
      </w:r>
      <m:oMath>
        <m:func>
          <m:funcPr>
            <m:ctrlPr>
              <w:rPr>
                <w:rFonts w:ascii="Cambria Math" w:hAnsi="Cambria Math" w:cstheme="majorHAnsi"/>
                <w:i/>
                <w:lang w:val="bg-BG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lang w:val="bg-BG"/>
              </w:rPr>
              <m:t>exp</m:t>
            </m:r>
          </m:fName>
          <m:e>
            <m:r>
              <w:rPr>
                <w:rFonts w:ascii="Cambria Math" w:hAnsi="Cambria Math" w:cstheme="majorHAnsi"/>
                <w:lang w:val="bg-BG"/>
              </w:rPr>
              <m:t>(β)</m:t>
            </m:r>
          </m:e>
        </m:func>
        <m:r>
          <w:rPr>
            <w:rFonts w:ascii="Cambria Math" w:hAnsi="Cambria Math" w:cstheme="majorHAnsi"/>
            <w:lang w:val="bg-BG"/>
          </w:rPr>
          <m:t>&gt;1</m:t>
        </m:r>
      </m:oMath>
      <w:r w:rsidRPr="0077317E">
        <w:rPr>
          <w:rFonts w:asciiTheme="majorHAnsi" w:hAnsiTheme="majorHAnsi" w:cstheme="majorHAnsi"/>
          <w:lang w:val="bg-BG"/>
        </w:rPr>
        <w:t xml:space="preserve">, централността увеличава риска от назначаване във всеки момент, тоест ускорява академичното влизане. Ако </w:t>
      </w:r>
      <m:oMath>
        <m:func>
          <m:funcPr>
            <m:ctrlPr>
              <w:rPr>
                <w:rFonts w:ascii="Cambria Math" w:hAnsi="Cambria Math" w:cstheme="majorHAnsi"/>
                <w:i/>
                <w:lang w:val="bg-BG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lang w:val="bg-BG"/>
              </w:rPr>
              <m:t>exp</m:t>
            </m:r>
          </m:fName>
          <m:e>
            <m:r>
              <w:rPr>
                <w:rFonts w:ascii="Cambria Math" w:hAnsi="Cambria Math" w:cstheme="majorHAnsi"/>
                <w:lang w:val="bg-BG"/>
              </w:rPr>
              <m:t>(β)</m:t>
            </m:r>
          </m:e>
        </m:func>
        <m:r>
          <w:rPr>
            <w:rFonts w:ascii="Cambria Math" w:hAnsi="Cambria Math" w:cstheme="majorHAnsi"/>
            <w:lang w:val="bg-BG"/>
          </w:rPr>
          <m:t>&lt; 1</m:t>
        </m:r>
      </m:oMath>
      <w:r w:rsidRPr="0077317E">
        <w:rPr>
          <w:rFonts w:asciiTheme="majorHAnsi" w:hAnsiTheme="majorHAnsi" w:cstheme="majorHAnsi"/>
          <w:lang w:val="bg-BG"/>
        </w:rPr>
        <w:t>, централността е свързана с по-бавно влизане.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Може да се въведе и бинарна променлива за бърза абсорбция:</w:t>
      </w:r>
    </w:p>
    <w:p w:rsidR="00674583" w:rsidRPr="0077317E" w:rsidRDefault="005554FD" w:rsidP="0077317E">
      <w:pPr>
        <w:pStyle w:val="FormulaBlock"/>
        <w:shd w:val="clear" w:color="auto" w:fill="F3F6FA"/>
        <w:spacing w:line="360" w:lineRule="auto"/>
        <w:rPr>
          <w:rFonts w:asciiTheme="majorHAnsi" w:hAnsiTheme="majorHAnsi" w:cstheme="majorHAnsi"/>
          <w:lang w:val="bg-BG"/>
        </w:rPr>
      </w:pPr>
      <w:proofErr w:type="spellStart"/>
      <w:r w:rsidRPr="0077317E">
        <w:rPr>
          <w:rFonts w:asciiTheme="majorHAnsi" w:hAnsiTheme="majorHAnsi" w:cstheme="majorHAnsi"/>
          <w:lang w:val="bg-BG"/>
        </w:rPr>
        <w:t>Fast_i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= 1 ако </w:t>
      </w:r>
      <w:proofErr w:type="spellStart"/>
      <w:r w:rsidRPr="0077317E">
        <w:rPr>
          <w:rFonts w:asciiTheme="majorHAnsi" w:hAnsiTheme="majorHAnsi" w:cstheme="majorHAnsi"/>
          <w:lang w:val="bg-BG"/>
        </w:rPr>
        <w:t>Delay_i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≤ 1 година</w:t>
      </w:r>
      <w:r w:rsidRPr="0077317E">
        <w:rPr>
          <w:rFonts w:asciiTheme="majorHAnsi" w:hAnsiTheme="majorHAnsi" w:cstheme="majorHAnsi"/>
          <w:lang w:val="bg-BG"/>
        </w:rPr>
        <w:br/>
      </w:r>
      <w:proofErr w:type="spellStart"/>
      <w:r w:rsidRPr="0077317E">
        <w:rPr>
          <w:rFonts w:asciiTheme="majorHAnsi" w:hAnsiTheme="majorHAnsi" w:cstheme="majorHAnsi"/>
          <w:lang w:val="bg-BG"/>
        </w:rPr>
        <w:t>Fast_i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= 0 ако </w:t>
      </w:r>
      <w:proofErr w:type="spellStart"/>
      <w:r w:rsidRPr="0077317E">
        <w:rPr>
          <w:rFonts w:asciiTheme="majorHAnsi" w:hAnsiTheme="majorHAnsi" w:cstheme="majorHAnsi"/>
          <w:lang w:val="bg-BG"/>
        </w:rPr>
        <w:t>Delay_i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&gt; 1 година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Тогава логистичният модел е:</w:t>
      </w:r>
    </w:p>
    <w:p w:rsidR="00674583" w:rsidRPr="0077317E" w:rsidRDefault="009826CC" w:rsidP="0077317E">
      <w:pPr>
        <w:pStyle w:val="Heading1"/>
        <w:spacing w:before="0" w:line="360" w:lineRule="auto"/>
        <w:rPr>
          <w:rFonts w:cstheme="majorHAnsi"/>
          <w:b w:val="0"/>
          <w:i/>
          <w:lang w:val="bg-BG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  <w:lang w:val="bg-BG"/>
            </w:rPr>
            <m:t>Pr</m:t>
          </m:r>
          <m:d>
            <m:dPr>
              <m:ctrlPr>
                <w:rPr>
                  <w:rFonts w:ascii="Cambria Math" w:hAnsi="Cambria Math" w:cstheme="majorHAnsi"/>
                  <w:b w:val="0"/>
                  <w:i/>
                  <w:color w:val="000000" w:themeColor="text1"/>
                  <w:sz w:val="22"/>
                  <w:szCs w:val="22"/>
                  <w:lang w:val="bg-BG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  <w:lang w:val="bg-BG"/>
                </w:rPr>
                <m:t>Fas</m:t>
              </m:r>
              <m:sSub>
                <m:sSubPr>
                  <m:ctrlPr>
                    <w:rPr>
                      <w:rFonts w:ascii="Cambria Math" w:hAnsi="Cambria Math" w:cstheme="majorHAnsi"/>
                      <w:b w:val="0"/>
                      <w:i/>
                      <w:color w:val="000000" w:themeColor="text1"/>
                      <w:sz w:val="22"/>
                      <w:szCs w:val="22"/>
                      <w:lang w:val="bg-B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  <w:lang w:val="bg-BG"/>
                </w:rPr>
                <m:t xml:space="preserve"> = 1</m:t>
              </m:r>
            </m:e>
          </m:d>
          <m:r>
            <m:rPr>
              <m:sty m:val="bi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  <w:lang w:val="bg-BG"/>
            </w:rPr>
            <m:t>= Λ</m:t>
          </m:r>
          <m:d>
            <m:dPr>
              <m:ctrlPr>
                <w:rPr>
                  <w:rFonts w:ascii="Cambria Math" w:hAnsi="Cambria Math" w:cstheme="majorHAnsi"/>
                  <w:b w:val="0"/>
                  <w:i/>
                  <w:color w:val="000000" w:themeColor="text1"/>
                  <w:sz w:val="22"/>
                  <w:szCs w:val="22"/>
                  <w:lang w:val="bg-BG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  <w:lang w:val="bg-BG"/>
                </w:rPr>
                <m:t xml:space="preserve">α + β </m:t>
              </m:r>
              <m:sSub>
                <m:sSubPr>
                  <m:ctrlPr>
                    <w:rPr>
                      <w:rFonts w:ascii="Cambria Math" w:hAnsi="Cambria Math" w:cstheme="majorHAnsi"/>
                      <w:b w:val="0"/>
                      <w:i/>
                      <w:color w:val="000000" w:themeColor="text1"/>
                      <w:sz w:val="22"/>
                      <w:szCs w:val="22"/>
                      <w:lang w:val="bg-B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  <w:lang w:val="bg-BG"/>
                </w:rPr>
                <m:t xml:space="preserve"> + </m:t>
              </m:r>
              <m:sSubSup>
                <m:sSubSupPr>
                  <m:ctrlPr>
                    <w:rPr>
                      <w:rFonts w:ascii="Cambria Math" w:hAnsi="Cambria Math" w:cstheme="majorHAnsi"/>
                      <w:b w:val="0"/>
                      <w:i/>
                      <w:color w:val="000000" w:themeColor="text1"/>
                      <w:sz w:val="22"/>
                      <w:szCs w:val="22"/>
                      <w:lang w:val="bg-BG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color w:val="000000" w:themeColor="text1"/>
                      <w:sz w:val="22"/>
                      <w:szCs w:val="22"/>
                      <w:lang w:val="bg-BG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  <w:lang w:val="bg-BG"/>
                </w:rPr>
                <m:t>γ</m:t>
              </m:r>
            </m:e>
          </m:d>
          <m:r>
            <m:rPr>
              <m:sty m:val="bi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  <w:lang w:val="bg-BG"/>
            </w:rPr>
            <m:t>,        Λ</m:t>
          </m:r>
          <m:d>
            <m:dPr>
              <m:ctrlPr>
                <w:rPr>
                  <w:rFonts w:ascii="Cambria Math" w:hAnsi="Cambria Math" w:cstheme="majorHAnsi"/>
                  <w:b w:val="0"/>
                  <w:i/>
                  <w:color w:val="000000" w:themeColor="text1"/>
                  <w:sz w:val="22"/>
                  <w:szCs w:val="22"/>
                  <w:lang w:val="bg-BG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  <w:lang w:val="bg-BG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  <w:lang w:val="bg-BG"/>
            </w:rPr>
            <m:t>=exp(z) / [1 + exp(z)]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Мрежата трябва да участва не само в обяснителните променливи, но и в оценката на </w:t>
      </w:r>
      <w:r w:rsidR="007D2B3D">
        <w:rPr>
          <w:rFonts w:asciiTheme="majorHAnsi" w:hAnsiTheme="majorHAnsi" w:cstheme="majorHAnsi"/>
          <w:lang w:val="bg-BG"/>
        </w:rPr>
        <w:t xml:space="preserve">стандартните грешки през </w:t>
      </w:r>
      <w:proofErr w:type="spellStart"/>
      <w:r w:rsidR="007D2B3D">
        <w:rPr>
          <w:rFonts w:asciiTheme="majorHAnsi" w:hAnsiTheme="majorHAnsi" w:cstheme="majorHAnsi"/>
          <w:lang w:val="bg-BG"/>
        </w:rPr>
        <w:t>ковариационната</w:t>
      </w:r>
      <w:proofErr w:type="spellEnd"/>
      <w:r w:rsidR="007D2B3D">
        <w:rPr>
          <w:rFonts w:asciiTheme="majorHAnsi" w:hAnsiTheme="majorHAnsi" w:cstheme="majorHAnsi"/>
          <w:lang w:val="bg-BG"/>
        </w:rPr>
        <w:t xml:space="preserve"> матрица</w:t>
      </w:r>
      <w:r w:rsidRPr="0077317E">
        <w:rPr>
          <w:rFonts w:asciiTheme="majorHAnsi" w:hAnsiTheme="majorHAnsi" w:cstheme="majorHAnsi"/>
          <w:lang w:val="bg-BG"/>
        </w:rPr>
        <w:t xml:space="preserve">. </w:t>
      </w:r>
      <w:r w:rsidR="007D2B3D">
        <w:rPr>
          <w:rFonts w:asciiTheme="majorHAnsi" w:hAnsiTheme="majorHAnsi" w:cstheme="majorHAnsi"/>
          <w:lang w:val="bg-BG"/>
        </w:rPr>
        <w:t>Не може да се допусне, че академичните лица в стопанския факултет</w:t>
      </w:r>
      <w:r w:rsidRPr="0077317E">
        <w:rPr>
          <w:rFonts w:asciiTheme="majorHAnsi" w:hAnsiTheme="majorHAnsi" w:cstheme="majorHAnsi"/>
          <w:lang w:val="bg-BG"/>
        </w:rPr>
        <w:t xml:space="preserve"> са независими наблюдения. Двама души, свързани чрез общ ръководител, общо жури или една и съща мрежова компонента, могат да имат </w:t>
      </w:r>
      <w:proofErr w:type="spellStart"/>
      <w:r w:rsidRPr="0077317E">
        <w:rPr>
          <w:rFonts w:asciiTheme="majorHAnsi" w:hAnsiTheme="majorHAnsi" w:cstheme="majorHAnsi"/>
          <w:lang w:val="bg-BG"/>
        </w:rPr>
        <w:t>корелирани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ненаблюдавани характеристики. Затова стандартната </w:t>
      </w:r>
      <w:proofErr w:type="spellStart"/>
      <w:r w:rsidRPr="0077317E">
        <w:rPr>
          <w:rFonts w:asciiTheme="majorHAnsi" w:hAnsiTheme="majorHAnsi" w:cstheme="majorHAnsi"/>
          <w:lang w:val="bg-BG"/>
        </w:rPr>
        <w:t>ковариационна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матрица може да бъде коригирана чрез мрежова зависимост.</w:t>
      </w:r>
    </w:p>
    <w:p w:rsidR="00674583" w:rsidRPr="0077317E" w:rsidRDefault="005554FD" w:rsidP="0077317E">
      <w:pPr>
        <w:spacing w:line="360" w:lineRule="auto"/>
        <w:ind w:firstLine="283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lastRenderedPageBreak/>
        <w:t xml:space="preserve">Нека </w:t>
      </w:r>
      <m:oMath>
        <m:r>
          <w:rPr>
            <w:rFonts w:ascii="Cambria Math" w:hAnsi="Cambria Math" w:cstheme="majorHAnsi"/>
            <w:lang w:val="bg-BG"/>
          </w:rPr>
          <m:t>g(i,j)</m:t>
        </m:r>
      </m:oMath>
      <w:r w:rsidRPr="0077317E">
        <w:rPr>
          <w:rFonts w:asciiTheme="majorHAnsi" w:hAnsiTheme="majorHAnsi" w:cstheme="majorHAnsi"/>
          <w:lang w:val="bg-BG"/>
        </w:rPr>
        <w:t xml:space="preserve"> е най-краткото мрежово разстояние между </w:t>
      </w:r>
      <m:oMath>
        <m:r>
          <w:rPr>
            <w:rFonts w:ascii="Cambria Math" w:hAnsi="Cambria Math" w:cstheme="majorHAnsi"/>
            <w:lang w:val="bg-BG"/>
          </w:rPr>
          <m:t>i</m:t>
        </m:r>
      </m:oMath>
      <w:r w:rsidRPr="0077317E">
        <w:rPr>
          <w:rFonts w:asciiTheme="majorHAnsi" w:hAnsiTheme="majorHAnsi" w:cstheme="majorHAnsi"/>
          <w:lang w:val="bg-BG"/>
        </w:rPr>
        <w:t xml:space="preserve"> и </w:t>
      </w:r>
      <m:oMath>
        <m:r>
          <w:rPr>
            <w:rFonts w:ascii="Cambria Math" w:hAnsi="Cambria Math" w:cstheme="majorHAnsi"/>
            <w:lang w:val="bg-BG"/>
          </w:rPr>
          <m:t>j.</m:t>
        </m:r>
      </m:oMath>
      <w:r w:rsidRPr="0077317E">
        <w:rPr>
          <w:rFonts w:asciiTheme="majorHAnsi" w:hAnsiTheme="majorHAnsi" w:cstheme="majorHAnsi"/>
          <w:lang w:val="bg-BG"/>
        </w:rPr>
        <w:t xml:space="preserve"> Дефинираме ядро на зависимост:</w:t>
      </w:r>
    </w:p>
    <w:p w:rsidR="00674583" w:rsidRPr="0077317E" w:rsidRDefault="00911302" w:rsidP="0077317E">
      <w:pPr>
        <w:pStyle w:val="FormulaBlock"/>
        <w:shd w:val="clear" w:color="auto" w:fill="F3F6FA"/>
        <w:spacing w:line="360" w:lineRule="auto"/>
        <w:rPr>
          <w:rFonts w:asciiTheme="majorHAnsi" w:hAnsiTheme="majorHAnsi" w:cstheme="majorHAnsi"/>
          <w:lang w:val="bg-BG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K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ij</m:t>
              </m:r>
            </m:sub>
          </m:sSub>
          <m:r>
            <w:rPr>
              <w:rFonts w:ascii="Cambria Math" w:hAnsi="Cambria Math" w:cstheme="majorHAnsi"/>
              <w:lang w:val="bg-BG"/>
            </w:rPr>
            <m:t>=1 ако g(i,j) ≤ r</m:t>
          </m:r>
          <m:r>
            <m:rPr>
              <m:sty m:val="p"/>
            </m:rPr>
            <w:rPr>
              <w:rFonts w:ascii="Cambria Math" w:hAnsi="Cambria Math" w:cstheme="majorHAnsi"/>
              <w:lang w:val="bg-BG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K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ij</m:t>
              </m:r>
            </m:sub>
          </m:sSub>
          <m:r>
            <w:rPr>
              <w:rFonts w:ascii="Cambria Math" w:hAnsi="Cambria Math" w:cstheme="majorHAnsi"/>
              <w:lang w:val="bg-BG"/>
            </w:rPr>
            <m:t>=0 ако g(i,j) &gt; r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или затихващо ядро:</w:t>
      </w:r>
    </w:p>
    <w:p w:rsidR="009826CC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 w:cstheme="majorHAnsi"/>
                  <w:lang w:val="bg-BG"/>
                </w:rPr>
                <m:t>K</m:t>
              </m:r>
            </m:e>
            <m:sub>
              <m:r>
                <w:rPr>
                  <w:rFonts w:ascii="Cambria Math" w:hAnsi="Cambria Math" w:cstheme="majorHAnsi"/>
                  <w:lang w:val="bg-BG"/>
                </w:rPr>
                <m:t>ij</m:t>
              </m:r>
            </m:sub>
          </m:sSub>
          <m:r>
            <w:rPr>
              <w:rFonts w:ascii="Cambria Math" w:hAnsi="Cambria Math" w:cstheme="majorHAnsi"/>
              <w:lang w:val="bg-BG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r>
                <w:rPr>
                  <w:rFonts w:ascii="Cambria Math" w:hAnsi="Cambria Math" w:cstheme="majorHAnsi"/>
                  <w:lang w:val="bg-BG"/>
                </w:rPr>
                <m:t>ρ</m:t>
              </m:r>
            </m:e>
            <m:sup>
              <m:r>
                <w:rPr>
                  <w:rFonts w:ascii="Cambria Math" w:hAnsi="Cambria Math" w:cstheme="majorHAnsi"/>
                  <w:lang w:val="bg-BG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i,j</m:t>
                  </m:r>
                </m:e>
              </m:d>
            </m:sup>
          </m:sSup>
          <m:r>
            <w:rPr>
              <w:rFonts w:ascii="Cambria Math" w:hAnsi="Cambria Math" w:cstheme="majorHAnsi"/>
              <w:lang w:val="bg-BG"/>
            </w:rPr>
            <m:t>,        0 &lt; ρ &lt; 1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Ако </w:t>
      </w:r>
      <m:oMath>
        <m:r>
          <w:rPr>
            <w:rFonts w:ascii="Cambria Math" w:hAnsi="Cambria Math" w:cstheme="majorHAnsi"/>
            <w:lang w:val="bg-BG"/>
          </w:rPr>
          <m:t>û</m:t>
        </m:r>
      </m:oMath>
      <w:r w:rsidRPr="0077317E">
        <w:rPr>
          <w:rFonts w:asciiTheme="majorHAnsi" w:hAnsiTheme="majorHAnsi" w:cstheme="majorHAnsi"/>
          <w:lang w:val="bg-BG"/>
        </w:rPr>
        <w:t xml:space="preserve"> е векторът на остатъците, мрежовата ковариационна структура може да се запише като:</w:t>
      </w:r>
    </w:p>
    <w:p w:rsidR="009826CC" w:rsidRPr="0077317E" w:rsidRDefault="00911302" w:rsidP="0077317E">
      <w:pPr>
        <w:spacing w:line="360" w:lineRule="auto"/>
        <w:rPr>
          <w:rFonts w:asciiTheme="majorHAnsi" w:hAnsiTheme="majorHAnsi" w:cstheme="majorHAnsi"/>
          <w:lang w:val="bg-BG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bg-BG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theme="majorHAnsi"/>
                  <w:lang w:val="bg-BG"/>
                </w:rPr>
                <m:t>net</m:t>
              </m:r>
            </m:sub>
          </m:sSub>
          <m:r>
            <w:rPr>
              <w:rFonts w:ascii="Cambria Math" w:hAnsi="Cambria Math" w:cstheme="majorHAnsi"/>
              <w:lang w:val="bg-BG"/>
            </w:rPr>
            <m:t>=K∘(ûû')</m:t>
          </m:r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където </w:t>
      </w:r>
      <w:r w:rsidRPr="0077317E">
        <w:rPr>
          <w:rFonts w:ascii="Cambria Math" w:hAnsi="Cambria Math" w:cs="Cambria Math"/>
          <w:lang w:val="bg-BG"/>
        </w:rPr>
        <w:t>∘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е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произведение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на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="Calibri" w:hAnsi="Calibri" w:cs="Calibri"/>
          <w:lang w:val="bg-BG"/>
        </w:rPr>
        <w:t>Адамар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</w:t>
      </w:r>
      <w:r w:rsidRPr="0077317E">
        <w:rPr>
          <w:rFonts w:ascii="Calibri" w:hAnsi="Calibri" w:cs="Calibri"/>
          <w:lang w:val="bg-BG"/>
        </w:rPr>
        <w:t>За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линеен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модел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мрежово</w:t>
      </w:r>
      <w:r w:rsidRPr="0077317E">
        <w:rPr>
          <w:rFonts w:asciiTheme="majorHAnsi" w:hAnsiTheme="majorHAnsi" w:cstheme="majorHAnsi"/>
          <w:lang w:val="bg-BG"/>
        </w:rPr>
        <w:t>-</w:t>
      </w:r>
      <w:r w:rsidRPr="0077317E">
        <w:rPr>
          <w:rFonts w:ascii="Calibri" w:hAnsi="Calibri" w:cs="Calibri"/>
          <w:lang w:val="bg-BG"/>
        </w:rPr>
        <w:t>устойчивата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="Calibri" w:hAnsi="Calibri" w:cs="Calibri"/>
          <w:lang w:val="bg-BG"/>
        </w:rPr>
        <w:t>варианционно</w:t>
      </w:r>
      <w:r w:rsidRPr="0077317E">
        <w:rPr>
          <w:rFonts w:asciiTheme="majorHAnsi" w:hAnsiTheme="majorHAnsi" w:cstheme="majorHAnsi"/>
          <w:lang w:val="bg-BG"/>
        </w:rPr>
        <w:t>-</w:t>
      </w:r>
      <w:r w:rsidRPr="0077317E">
        <w:rPr>
          <w:rFonts w:ascii="Calibri" w:hAnsi="Calibri" w:cs="Calibri"/>
          <w:lang w:val="bg-BG"/>
        </w:rPr>
        <w:t>ковариационна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матрица</w:t>
      </w:r>
      <w:r w:rsidRPr="0077317E">
        <w:rPr>
          <w:rFonts w:asciiTheme="majorHAnsi" w:hAnsiTheme="majorHAnsi" w:cstheme="majorHAnsi"/>
          <w:lang w:val="bg-BG"/>
        </w:rPr>
        <w:t xml:space="preserve"> </w:t>
      </w:r>
      <w:r w:rsidRPr="0077317E">
        <w:rPr>
          <w:rFonts w:ascii="Calibri" w:hAnsi="Calibri" w:cs="Calibri"/>
          <w:lang w:val="bg-BG"/>
        </w:rPr>
        <w:t>е</w:t>
      </w:r>
      <w:r w:rsidRPr="0077317E">
        <w:rPr>
          <w:rFonts w:asciiTheme="majorHAnsi" w:hAnsiTheme="majorHAnsi" w:cstheme="majorHAnsi"/>
          <w:lang w:val="bg-BG"/>
        </w:rPr>
        <w:t>:</w:t>
      </w:r>
    </w:p>
    <w:p w:rsidR="009826CC" w:rsidRPr="0077317E" w:rsidRDefault="00911302" w:rsidP="0077317E">
      <w:pPr>
        <w:spacing w:line="360" w:lineRule="auto"/>
        <w:rPr>
          <w:rFonts w:asciiTheme="majorHAnsi" w:hAnsiTheme="majorHAnsi" w:cstheme="majorHAnsi"/>
          <w:i/>
          <w:lang w:val="bg-BG"/>
        </w:rPr>
      </w:pPr>
      <m:oMathPara>
        <m:oMath>
          <m:acc>
            <m:acc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accPr>
            <m:e>
              <m:r>
                <w:rPr>
                  <w:rFonts w:ascii="Cambria Math" w:hAnsi="Cambria Math" w:cstheme="majorHAnsi"/>
                  <w:lang w:val="bg-BG"/>
                </w:rPr>
                <m:t>Va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ajorHAnsi"/>
                      <w:lang w:val="bg-BG"/>
                    </w:rPr>
                    <m:t>net</m:t>
                  </m:r>
                </m:sub>
              </m:sSub>
              <m:r>
                <w:rPr>
                  <w:rFonts w:ascii="Cambria Math" w:hAnsi="Cambria Math" w:cstheme="majorHAnsi"/>
                  <w:lang w:val="bg-BG"/>
                </w:rPr>
                <m:t>(θ)</m:t>
              </m:r>
            </m:e>
          </m:acc>
          <m:r>
            <w:rPr>
              <w:rFonts w:ascii="Cambria Math" w:hAnsi="Cambria Math" w:cstheme="majorHAnsi"/>
              <w:lang w:val="bg-BG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  <w:lang w:val="bg-BG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ajorHAnsi"/>
                  <w:lang w:val="bg-BG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r>
                <w:rPr>
                  <w:rFonts w:ascii="Cambria Math" w:hAnsi="Cambria Math" w:cstheme="majorHAnsi"/>
                  <w:lang w:val="bg-BG"/>
                </w:rPr>
                <m:t>X</m:t>
              </m:r>
            </m:e>
            <m:sup>
              <m:r>
                <w:rPr>
                  <w:rFonts w:ascii="Cambria Math" w:hAnsi="Cambria Math" w:cstheme="majorHAnsi"/>
                  <w:lang w:val="bg-BG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lang w:val="bg-BG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theme="majorHAnsi"/>
                  <w:lang w:val="bg-BG"/>
                </w:rPr>
                <m:t>net</m:t>
              </m:r>
            </m:sub>
          </m:sSub>
          <m:r>
            <w:rPr>
              <w:rFonts w:ascii="Cambria Math" w:hAnsi="Cambria Math" w:cstheme="majorHAnsi"/>
              <w:lang w:val="bg-BG"/>
            </w:rPr>
            <m:t xml:space="preserve">X </m:t>
          </m:r>
          <m:sSup>
            <m:sSupPr>
              <m:ctrlPr>
                <w:rPr>
                  <w:rFonts w:ascii="Cambria Math" w:hAnsi="Cambria Math" w:cstheme="majorHAnsi"/>
                  <w:i/>
                  <w:lang w:val="bg-BG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HAnsi"/>
                      <w:i/>
                      <w:lang w:val="bg-BG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lang w:val="bg-BG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lang w:val="bg-BG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  <w:lang w:val="bg-BG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theme="majorHAnsi"/>
                  <w:lang w:val="bg-BG"/>
                </w:rPr>
                <m:t>-1</m:t>
              </m:r>
            </m:sup>
          </m:sSup>
        </m:oMath>
      </m:oMathPara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Тази корекция не променя коефициентите. Тя променя стандартните грешки и следователно силата на статистическите изводи. Това е особено важно при малка извадка и при мрежови данни, където независимостта на наблюденията е силно допускане.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>Емпиричната стратегия може да се организира в пет последователни теста.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Първо, изчисляват се </w:t>
      </w:r>
      <w:proofErr w:type="spellStart"/>
      <w:r w:rsidRPr="0077317E">
        <w:rPr>
          <w:rFonts w:asciiTheme="majorHAnsi" w:hAnsiTheme="majorHAnsi" w:cstheme="majorHAnsi"/>
          <w:lang w:val="bg-BG"/>
        </w:rPr>
        <w:t>централностите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от мрежата на ръководства и журита. Тази мрежа е най-подходяща за анализ на скоростта на назначаване, защото възниква около доктората и е по-малко изложена на обратна причинност. Второ, проверява се дали централността предсказва вероятността едно лице да бъде </w:t>
      </w:r>
      <w:proofErr w:type="spellStart"/>
      <w:r w:rsidRPr="0077317E">
        <w:rPr>
          <w:rFonts w:asciiTheme="majorHAnsi" w:hAnsiTheme="majorHAnsi" w:cstheme="majorHAnsi"/>
          <w:lang w:val="bg-BG"/>
        </w:rPr>
        <w:t>инбридинг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назначение. Трето, проверява се дали централността предсказва забавянето между докторат и назначение. Четвърто, същата хипотеза се тества чрез Cox модел. Пето, резултатите се проверяват с мрежово коригирани стандартни грешки.</w:t>
      </w:r>
    </w:p>
    <w:p w:rsidR="00674583" w:rsidRPr="0077317E" w:rsidRDefault="005554FD" w:rsidP="0077317E">
      <w:pPr>
        <w:spacing w:line="360" w:lineRule="auto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Най-важното ограничение е времевият ред. Централността трябва да бъде измерена чрез връзки, които са наблюдаеми преди или около назначаването. Ако се използват по-късни </w:t>
      </w:r>
      <w:proofErr w:type="spellStart"/>
      <w:r w:rsidRPr="0077317E">
        <w:rPr>
          <w:rFonts w:asciiTheme="majorHAnsi" w:hAnsiTheme="majorHAnsi" w:cstheme="majorHAnsi"/>
          <w:lang w:val="bg-BG"/>
        </w:rPr>
        <w:t>съавторства</w:t>
      </w:r>
      <w:proofErr w:type="spellEnd"/>
      <w:r w:rsidRPr="0077317E">
        <w:rPr>
          <w:rFonts w:asciiTheme="majorHAnsi" w:hAnsiTheme="majorHAnsi" w:cstheme="majorHAnsi"/>
          <w:lang w:val="bg-BG"/>
        </w:rPr>
        <w:t>, може да се получи обратна причинност: човекът не е назначен бързо, защото е централен, а става централен, защото вече е назначен.</w:t>
      </w:r>
    </w:p>
    <w:p w:rsidR="00674583" w:rsidRPr="0077317E" w:rsidRDefault="005554FD" w:rsidP="0077317E">
      <w:pPr>
        <w:pStyle w:val="Heading1"/>
        <w:spacing w:line="360" w:lineRule="auto"/>
        <w:rPr>
          <w:rFonts w:cstheme="majorHAnsi"/>
          <w:lang w:val="bg-BG"/>
        </w:rPr>
      </w:pPr>
      <w:r w:rsidRPr="0077317E">
        <w:rPr>
          <w:rFonts w:cstheme="majorHAnsi"/>
          <w:lang w:val="bg-BG"/>
        </w:rPr>
        <w:t>Литература</w:t>
      </w:r>
    </w:p>
    <w:p w:rsidR="00674583" w:rsidRPr="0077317E" w:rsidRDefault="005554FD" w:rsidP="0077317E">
      <w:pPr>
        <w:spacing w:line="360" w:lineRule="auto"/>
        <w:ind w:left="340" w:hanging="340"/>
        <w:rPr>
          <w:rFonts w:asciiTheme="majorHAnsi" w:hAnsiTheme="majorHAnsi" w:cstheme="majorHAnsi"/>
          <w:lang w:val="bg-BG"/>
        </w:rPr>
      </w:pPr>
      <w:proofErr w:type="spellStart"/>
      <w:r w:rsidRPr="0077317E">
        <w:rPr>
          <w:rFonts w:asciiTheme="majorHAnsi" w:hAnsiTheme="majorHAnsi" w:cstheme="majorHAnsi"/>
          <w:lang w:val="bg-BG"/>
        </w:rPr>
        <w:t>Bonacich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P. (1972). </w:t>
      </w:r>
      <w:proofErr w:type="spellStart"/>
      <w:r w:rsidRPr="0077317E">
        <w:rPr>
          <w:rFonts w:asciiTheme="majorHAnsi" w:hAnsiTheme="majorHAnsi" w:cstheme="majorHAnsi"/>
          <w:lang w:val="bg-BG"/>
        </w:rPr>
        <w:t>Factoring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and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weighting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approaches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to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status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scores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and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clique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identification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</w:t>
      </w:r>
      <w:proofErr w:type="spellStart"/>
      <w:r w:rsidRPr="0077317E">
        <w:rPr>
          <w:rFonts w:asciiTheme="majorHAnsi" w:hAnsiTheme="majorHAnsi" w:cstheme="majorHAnsi"/>
          <w:lang w:val="bg-BG"/>
        </w:rPr>
        <w:t>The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Journal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of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Mathematical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Sociology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2(1), 113-120. </w:t>
      </w:r>
      <w:hyperlink r:id="rId8" w:history="1">
        <w:r w:rsidR="0077317E" w:rsidRPr="0077317E">
          <w:rPr>
            <w:rStyle w:val="Hyperlink"/>
            <w:rFonts w:asciiTheme="majorHAnsi" w:hAnsiTheme="majorHAnsi" w:cstheme="majorHAnsi"/>
            <w:lang w:val="bg-BG"/>
          </w:rPr>
          <w:t>https://doi.org/10.1080/0022250X.1972.9989806</w:t>
        </w:r>
      </w:hyperlink>
      <w:r w:rsidR="0077317E" w:rsidRPr="0077317E">
        <w:rPr>
          <w:rFonts w:asciiTheme="majorHAnsi" w:hAnsiTheme="majorHAnsi" w:cstheme="majorHAnsi"/>
          <w:lang w:val="bg-BG"/>
        </w:rPr>
        <w:t xml:space="preserve"> </w:t>
      </w:r>
    </w:p>
    <w:p w:rsidR="00674583" w:rsidRPr="0077317E" w:rsidRDefault="005554FD" w:rsidP="0077317E">
      <w:pPr>
        <w:spacing w:line="360" w:lineRule="auto"/>
        <w:ind w:left="340" w:hanging="340"/>
        <w:rPr>
          <w:rFonts w:asciiTheme="majorHAnsi" w:hAnsiTheme="majorHAnsi" w:cstheme="majorHAnsi"/>
          <w:lang w:val="bg-BG"/>
        </w:rPr>
      </w:pPr>
      <w:proofErr w:type="spellStart"/>
      <w:r w:rsidRPr="0077317E">
        <w:rPr>
          <w:rFonts w:asciiTheme="majorHAnsi" w:hAnsiTheme="majorHAnsi" w:cstheme="majorHAnsi"/>
          <w:lang w:val="bg-BG"/>
        </w:rPr>
        <w:lastRenderedPageBreak/>
        <w:t>Freeman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L. C. (1978). </w:t>
      </w:r>
      <w:proofErr w:type="spellStart"/>
      <w:r w:rsidRPr="0077317E">
        <w:rPr>
          <w:rFonts w:asciiTheme="majorHAnsi" w:hAnsiTheme="majorHAnsi" w:cstheme="majorHAnsi"/>
          <w:lang w:val="bg-BG"/>
        </w:rPr>
        <w:t>Centrality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in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social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networks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conceptual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clarification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</w:t>
      </w:r>
      <w:proofErr w:type="spellStart"/>
      <w:r w:rsidRPr="0077317E">
        <w:rPr>
          <w:rFonts w:asciiTheme="majorHAnsi" w:hAnsiTheme="majorHAnsi" w:cstheme="majorHAnsi"/>
          <w:lang w:val="bg-BG"/>
        </w:rPr>
        <w:t>Social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Networks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1(3), 215-239. </w:t>
      </w:r>
      <w:hyperlink r:id="rId9" w:history="1">
        <w:r w:rsidR="0077317E" w:rsidRPr="0077317E">
          <w:rPr>
            <w:rStyle w:val="Hyperlink"/>
            <w:rFonts w:asciiTheme="majorHAnsi" w:hAnsiTheme="majorHAnsi" w:cstheme="majorHAnsi"/>
            <w:lang w:val="bg-BG"/>
          </w:rPr>
          <w:t>https://doi.org/10.1016/0378-8733(78)90021-7</w:t>
        </w:r>
      </w:hyperlink>
      <w:r w:rsidR="0077317E" w:rsidRPr="0077317E">
        <w:rPr>
          <w:rFonts w:asciiTheme="majorHAnsi" w:hAnsiTheme="majorHAnsi" w:cstheme="majorHAnsi"/>
          <w:lang w:val="bg-BG"/>
        </w:rPr>
        <w:t xml:space="preserve"> </w:t>
      </w:r>
    </w:p>
    <w:p w:rsidR="00674583" w:rsidRPr="0077317E" w:rsidRDefault="005554FD" w:rsidP="0077317E">
      <w:pPr>
        <w:spacing w:line="360" w:lineRule="auto"/>
        <w:ind w:left="340" w:hanging="340"/>
        <w:rPr>
          <w:rFonts w:asciiTheme="majorHAnsi" w:hAnsiTheme="majorHAnsi" w:cstheme="majorHAnsi"/>
          <w:lang w:val="bg-BG"/>
        </w:rPr>
      </w:pPr>
      <w:r w:rsidRPr="0077317E">
        <w:rPr>
          <w:rFonts w:asciiTheme="majorHAnsi" w:hAnsiTheme="majorHAnsi" w:cstheme="majorHAnsi"/>
          <w:lang w:val="bg-BG"/>
        </w:rPr>
        <w:t xml:space="preserve">Katz, L. (1953). A </w:t>
      </w:r>
      <w:proofErr w:type="spellStart"/>
      <w:r w:rsidRPr="0077317E">
        <w:rPr>
          <w:rFonts w:asciiTheme="majorHAnsi" w:hAnsiTheme="majorHAnsi" w:cstheme="majorHAnsi"/>
          <w:lang w:val="bg-BG"/>
        </w:rPr>
        <w:t>new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status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index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derived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from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sociometric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analysis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</w:t>
      </w:r>
      <w:proofErr w:type="spellStart"/>
      <w:r w:rsidRPr="0077317E">
        <w:rPr>
          <w:rFonts w:asciiTheme="majorHAnsi" w:hAnsiTheme="majorHAnsi" w:cstheme="majorHAnsi"/>
          <w:lang w:val="bg-BG"/>
        </w:rPr>
        <w:t>Psychometrika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18, 39-43. </w:t>
      </w:r>
      <w:hyperlink r:id="rId10" w:history="1">
        <w:r w:rsidR="0077317E" w:rsidRPr="0077317E">
          <w:rPr>
            <w:rStyle w:val="Hyperlink"/>
            <w:rFonts w:asciiTheme="majorHAnsi" w:hAnsiTheme="majorHAnsi" w:cstheme="majorHAnsi"/>
            <w:lang w:val="bg-BG"/>
          </w:rPr>
          <w:t>https://doi.org/10.1007/BF02289026</w:t>
        </w:r>
      </w:hyperlink>
      <w:r w:rsidR="0077317E" w:rsidRPr="0077317E">
        <w:rPr>
          <w:rFonts w:asciiTheme="majorHAnsi" w:hAnsiTheme="majorHAnsi" w:cstheme="majorHAnsi"/>
          <w:lang w:val="bg-BG"/>
        </w:rPr>
        <w:t xml:space="preserve"> </w:t>
      </w:r>
    </w:p>
    <w:p w:rsidR="00674583" w:rsidRPr="0077317E" w:rsidRDefault="005554FD" w:rsidP="0077317E">
      <w:pPr>
        <w:spacing w:line="360" w:lineRule="auto"/>
        <w:ind w:left="340" w:hanging="340"/>
        <w:rPr>
          <w:rFonts w:asciiTheme="majorHAnsi" w:hAnsiTheme="majorHAnsi" w:cstheme="majorHAnsi"/>
          <w:lang w:val="bg-BG"/>
        </w:rPr>
      </w:pPr>
      <w:proofErr w:type="spellStart"/>
      <w:r w:rsidRPr="0077317E">
        <w:rPr>
          <w:rFonts w:asciiTheme="majorHAnsi" w:hAnsiTheme="majorHAnsi" w:cstheme="majorHAnsi"/>
          <w:lang w:val="bg-BG"/>
        </w:rPr>
        <w:t>Newman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, M. E. J. (2010). </w:t>
      </w:r>
      <w:proofErr w:type="spellStart"/>
      <w:r w:rsidRPr="0077317E">
        <w:rPr>
          <w:rFonts w:asciiTheme="majorHAnsi" w:hAnsiTheme="majorHAnsi" w:cstheme="majorHAnsi"/>
          <w:lang w:val="bg-BG"/>
        </w:rPr>
        <w:t>Networks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: </w:t>
      </w:r>
      <w:proofErr w:type="spellStart"/>
      <w:r w:rsidRPr="0077317E">
        <w:rPr>
          <w:rFonts w:asciiTheme="majorHAnsi" w:hAnsiTheme="majorHAnsi" w:cstheme="majorHAnsi"/>
          <w:lang w:val="bg-BG"/>
        </w:rPr>
        <w:t>An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introduction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Oxford </w:t>
      </w:r>
      <w:proofErr w:type="spellStart"/>
      <w:r w:rsidRPr="0077317E">
        <w:rPr>
          <w:rFonts w:asciiTheme="majorHAnsi" w:hAnsiTheme="majorHAnsi" w:cstheme="majorHAnsi"/>
          <w:lang w:val="bg-BG"/>
        </w:rPr>
        <w:t>University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 </w:t>
      </w:r>
      <w:proofErr w:type="spellStart"/>
      <w:r w:rsidRPr="0077317E">
        <w:rPr>
          <w:rFonts w:asciiTheme="majorHAnsi" w:hAnsiTheme="majorHAnsi" w:cstheme="majorHAnsi"/>
          <w:lang w:val="bg-BG"/>
        </w:rPr>
        <w:t>Press</w:t>
      </w:r>
      <w:proofErr w:type="spellEnd"/>
      <w:r w:rsidRPr="0077317E">
        <w:rPr>
          <w:rFonts w:asciiTheme="majorHAnsi" w:hAnsiTheme="majorHAnsi" w:cstheme="majorHAnsi"/>
          <w:lang w:val="bg-BG"/>
        </w:rPr>
        <w:t xml:space="preserve">. </w:t>
      </w:r>
      <w:hyperlink r:id="rId11" w:history="1">
        <w:r w:rsidR="0077317E" w:rsidRPr="0077317E">
          <w:rPr>
            <w:rStyle w:val="Hyperlink"/>
            <w:rFonts w:asciiTheme="majorHAnsi" w:hAnsiTheme="majorHAnsi" w:cstheme="majorHAnsi"/>
            <w:lang w:val="bg-BG"/>
          </w:rPr>
          <w:t>https://doi.org/10.1093/acprof:oso/9780199206650.001.0001</w:t>
        </w:r>
      </w:hyperlink>
      <w:r w:rsidR="0077317E" w:rsidRPr="0077317E">
        <w:rPr>
          <w:rFonts w:asciiTheme="majorHAnsi" w:hAnsiTheme="majorHAnsi" w:cstheme="majorHAnsi"/>
          <w:lang w:val="bg-BG"/>
        </w:rPr>
        <w:t xml:space="preserve"> </w:t>
      </w:r>
    </w:p>
    <w:sectPr w:rsidR="00674583" w:rsidRPr="0077317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1302" w:rsidRDefault="00911302">
      <w:pPr>
        <w:spacing w:after="0" w:line="240" w:lineRule="auto"/>
      </w:pPr>
      <w:r>
        <w:separator/>
      </w:r>
    </w:p>
  </w:endnote>
  <w:endnote w:type="continuationSeparator" w:id="0">
    <w:p w:rsidR="00911302" w:rsidRDefault="00911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1302" w:rsidRDefault="00911302">
      <w:pPr>
        <w:spacing w:after="0" w:line="240" w:lineRule="auto"/>
      </w:pPr>
      <w:r>
        <w:separator/>
      </w:r>
    </w:p>
  </w:footnote>
  <w:footnote w:type="continuationSeparator" w:id="0">
    <w:p w:rsidR="00911302" w:rsidRDefault="00911302">
      <w:pPr>
        <w:spacing w:after="0" w:line="240" w:lineRule="auto"/>
      </w:pPr>
      <w:r>
        <w:continuationSeparator/>
      </w:r>
    </w:p>
  </w:footnote>
  <w:footnote w:id="1">
    <w:p w:rsidR="0077317E" w:rsidRPr="0077317E" w:rsidRDefault="0077317E" w:rsidP="0077317E">
      <w:pPr>
        <w:pStyle w:val="FootnoteText"/>
        <w:jc w:val="both"/>
        <w:rPr>
          <w:rFonts w:asciiTheme="majorHAnsi" w:hAnsiTheme="majorHAnsi" w:cstheme="majorHAnsi"/>
          <w:lang w:val="bg-BG"/>
        </w:rPr>
      </w:pPr>
      <w:r w:rsidRPr="0077317E">
        <w:rPr>
          <w:rStyle w:val="FootnoteReference"/>
          <w:rFonts w:asciiTheme="majorHAnsi" w:hAnsiTheme="majorHAnsi" w:cstheme="majorHAnsi"/>
        </w:rPr>
        <w:footnoteRef/>
      </w:r>
      <w:r w:rsidRPr="0077317E">
        <w:rPr>
          <w:rFonts w:asciiTheme="majorHAnsi" w:hAnsiTheme="majorHAnsi" w:cstheme="majorHAnsi"/>
        </w:rPr>
        <w:t xml:space="preserve"> </w:t>
      </w:r>
      <w:r w:rsidRPr="0077317E">
        <w:rPr>
          <w:rFonts w:asciiTheme="majorHAnsi" w:hAnsiTheme="majorHAnsi" w:cstheme="majorHAnsi"/>
          <w:lang w:val="bg-BG"/>
        </w:rPr>
        <w:t>Да се чете като приложение към главата „Свързани отвътре: мрежи, родословия и академично възпроизводство“ на книгата „Стопанския факултет на СУ: Успешен или провален експеримент на демокрацията“ от Стойчо Русинов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3E"/>
    <w:rsid w:val="0006063C"/>
    <w:rsid w:val="0015074B"/>
    <w:rsid w:val="00217CD2"/>
    <w:rsid w:val="0029639D"/>
    <w:rsid w:val="00326F90"/>
    <w:rsid w:val="00355643"/>
    <w:rsid w:val="004432E5"/>
    <w:rsid w:val="005554FD"/>
    <w:rsid w:val="006074C0"/>
    <w:rsid w:val="00674583"/>
    <w:rsid w:val="0077317E"/>
    <w:rsid w:val="007D2B3D"/>
    <w:rsid w:val="00911302"/>
    <w:rsid w:val="009826CC"/>
    <w:rsid w:val="00AA1D8D"/>
    <w:rsid w:val="00B47730"/>
    <w:rsid w:val="00B828D9"/>
    <w:rsid w:val="00CB0664"/>
    <w:rsid w:val="00D074AC"/>
    <w:rsid w:val="00EF5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8C3B97"/>
  <w14:defaultImageDpi w14:val="300"/>
  <w15:docId w15:val="{D4D499ED-8487-4EEB-B13E-8203F3D6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erif" w:eastAsia="Liberation Serif" w:hAnsi="Liberation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60" w:after="120"/>
      <w:ind w:left="283" w:right="113"/>
    </w:pPr>
    <w:rPr>
      <w:rFonts w:ascii="DejaVu Sans Mono" w:eastAsia="DejaVu Sans Mono" w:hAnsi="DejaVu Sans Mono"/>
      <w:sz w:val="18"/>
    </w:rPr>
  </w:style>
  <w:style w:type="paragraph" w:customStyle="1" w:styleId="CodeBlock">
    <w:name w:val="Code Block"/>
    <w:pPr>
      <w:spacing w:after="0"/>
      <w:ind w:left="227"/>
    </w:pPr>
    <w:rPr>
      <w:rFonts w:ascii="DejaVu Sans Mono" w:eastAsia="DejaVu Sans Mono" w:hAnsi="DejaVu Sans Mono"/>
      <w:sz w:val="17"/>
    </w:rPr>
  </w:style>
  <w:style w:type="character" w:styleId="PlaceholderText">
    <w:name w:val="Placeholder Text"/>
    <w:basedOn w:val="DefaultParagraphFont"/>
    <w:uiPriority w:val="99"/>
    <w:semiHidden/>
    <w:rsid w:val="00EF521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731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17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31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317E"/>
    <w:rPr>
      <w:rFonts w:ascii="Liberation Serif" w:eastAsia="Liberation Serif" w:hAnsi="Liberation Serif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731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022250X.1972.998980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93/acprof:oso/9780199206650.001.000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07/BF022890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0378-8733(78)90021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21ABD-BED6-456A-BE69-EF0F2735D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1433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Глава 2 - матрици и академично възпроизводство</vt:lpstr>
    </vt:vector>
  </TitlesOfParts>
  <Manager/>
  <Company/>
  <LinksUpToDate>false</LinksUpToDate>
  <CharactersWithSpaces>9587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2 - матрици и академично възпроизводство</dc:title>
  <dc:subject/>
  <dc:creator>Stoycho Rusinov</dc:creator>
  <cp:keywords/>
  <dc:description/>
  <cp:lastModifiedBy>Stoycho Rusinov</cp:lastModifiedBy>
  <cp:revision>3</cp:revision>
  <dcterms:created xsi:type="dcterms:W3CDTF">2013-12-23T23:15:00Z</dcterms:created>
  <dcterms:modified xsi:type="dcterms:W3CDTF">2026-06-04T13:06:00Z</dcterms:modified>
  <cp:category/>
</cp:coreProperties>
</file>